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91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852"/>
      </w:tblGrid>
      <w:tr w:rsidR="008263FF" w:rsidTr="008263FF">
        <w:trPr>
          <w:jc w:val="center"/>
        </w:trPr>
        <w:tc>
          <w:tcPr>
            <w:tcW w:w="743" w:type="dxa"/>
          </w:tcPr>
          <w:p w:rsidR="008263FF" w:rsidRPr="00DD7B65" w:rsidRDefault="008263FF" w:rsidP="00EA5C43">
            <w:pPr>
              <w:suppressLineNumbers/>
              <w:jc w:val="both"/>
              <w:rPr>
                <w:rFonts w:ascii="Arial" w:hAnsi="Arial"/>
                <w:b/>
                <w:bCs/>
                <w:sz w:val="26"/>
                <w:szCs w:val="26"/>
                <w:rtl/>
              </w:rPr>
            </w:pPr>
            <w:bookmarkStart w:id="0" w:name="_GoBack"/>
            <w:bookmarkEnd w:id="0"/>
            <w:r>
              <w:rPr>
                <w:rFonts w:ascii="Arial" w:hAnsi="Arial" w:hint="cs"/>
                <w:b/>
                <w:bCs/>
                <w:sz w:val="26"/>
                <w:szCs w:val="26"/>
                <w:rtl/>
              </w:rPr>
              <w:t>ל</w:t>
            </w:r>
            <w:r w:rsidRPr="00DD7B65">
              <w:rPr>
                <w:rFonts w:ascii="Arial" w:hAnsi="Arial"/>
                <w:b/>
                <w:bCs/>
                <w:sz w:val="26"/>
                <w:szCs w:val="26"/>
                <w:rtl/>
              </w:rPr>
              <w:t xml:space="preserve">פני </w:t>
            </w:r>
          </w:p>
        </w:tc>
        <w:tc>
          <w:tcPr>
            <w:tcW w:w="8358" w:type="dxa"/>
            <w:gridSpan w:val="2"/>
          </w:tcPr>
          <w:p w:rsidR="008263FF" w:rsidRPr="00DD7B65" w:rsidRDefault="008263FF" w:rsidP="00EA5C43">
            <w:pPr>
              <w:suppressLineNumbers/>
              <w:rPr>
                <w:rFonts w:ascii="Arial" w:hAnsi="Arial"/>
                <w:b/>
                <w:bCs/>
                <w:sz w:val="26"/>
                <w:szCs w:val="26"/>
                <w:rtl/>
              </w:rPr>
            </w:pPr>
            <w:r w:rsidRPr="00DD7B65">
              <w:rPr>
                <w:rFonts w:ascii="Arial" w:hAnsi="Arial" w:hint="cs"/>
                <w:b/>
                <w:bCs/>
                <w:sz w:val="26"/>
                <w:szCs w:val="26"/>
                <w:rtl/>
              </w:rPr>
              <w:t>כבוד ה</w:t>
            </w:r>
            <w:sdt>
              <w:sdtPr>
                <w:rPr>
                  <w:sz w:val="26"/>
                  <w:szCs w:val="26"/>
                  <w:rtl/>
                </w:rPr>
                <w:alias w:val="1574"/>
                <w:tag w:val="1574"/>
                <w:id w:val="912974324"/>
                <w:text w:multiLine="1"/>
              </w:sdtPr>
              <w:sdtEndPr/>
              <w:sdtContent>
                <w:r w:rsidRPr="00DD7B65">
                  <w:rPr>
                    <w:rFonts w:ascii="Arial" w:hAnsi="Arial"/>
                    <w:b/>
                    <w:bCs/>
                    <w:sz w:val="26"/>
                    <w:szCs w:val="26"/>
                    <w:rtl/>
                  </w:rPr>
                  <w:t>שופט</w:t>
                </w:r>
              </w:sdtContent>
            </w:sdt>
            <w:r w:rsidRPr="00DD7B65">
              <w:rPr>
                <w:rFonts w:ascii="Arial" w:hAnsi="Arial" w:hint="cs"/>
                <w:b/>
                <w:bCs/>
                <w:sz w:val="26"/>
                <w:szCs w:val="26"/>
                <w:rtl/>
              </w:rPr>
              <w:t xml:space="preserve">  </w:t>
            </w:r>
            <w:sdt>
              <w:sdtPr>
                <w:rPr>
                  <w:sz w:val="26"/>
                  <w:szCs w:val="26"/>
                  <w:rtl/>
                </w:rPr>
                <w:alias w:val="1573"/>
                <w:tag w:val="1573"/>
                <w:id w:val="-968815745"/>
                <w:text w:multiLine="1"/>
              </w:sdtPr>
              <w:sdtEndPr/>
              <w:sdtContent>
                <w:r w:rsidRPr="00DD7B65">
                  <w:rPr>
                    <w:rFonts w:ascii="Arial" w:hAnsi="Arial"/>
                    <w:b/>
                    <w:bCs/>
                    <w:sz w:val="26"/>
                    <w:szCs w:val="26"/>
                    <w:rtl/>
                  </w:rPr>
                  <w:t>חננאל שרעבי</w:t>
                </w:r>
              </w:sdtContent>
            </w:sdt>
          </w:p>
          <w:p w:rsidR="008263FF" w:rsidRPr="00DD7B65" w:rsidRDefault="008263FF" w:rsidP="00EA5C43">
            <w:pPr>
              <w:suppressLineNumbers/>
              <w:rPr>
                <w:rFonts w:ascii="Arial" w:hAnsi="Arial" w:cs="FrankRuehl"/>
                <w:sz w:val="26"/>
                <w:szCs w:val="26"/>
                <w:highlight w:val="yellow"/>
              </w:rPr>
            </w:pPr>
          </w:p>
        </w:tc>
      </w:tr>
      <w:tr w:rsidR="008263FF" w:rsidTr="008263FF">
        <w:trPr>
          <w:jc w:val="center"/>
        </w:trPr>
        <w:tc>
          <w:tcPr>
            <w:tcW w:w="3249" w:type="dxa"/>
            <w:gridSpan w:val="2"/>
          </w:tcPr>
          <w:p w:rsidR="008263FF" w:rsidRPr="00DD7B65" w:rsidRDefault="008263FF" w:rsidP="00EA5C43">
            <w:pPr>
              <w:suppressLineNumbers/>
              <w:rPr>
                <w:rFonts w:ascii="Arial" w:hAnsi="Arial"/>
                <w:b/>
                <w:bCs/>
                <w:noProof w:val="0"/>
                <w:sz w:val="26"/>
                <w:szCs w:val="26"/>
              </w:rPr>
            </w:pPr>
          </w:p>
          <w:sdt>
            <w:sdtPr>
              <w:rPr>
                <w:sz w:val="26"/>
                <w:szCs w:val="26"/>
                <w:rtl/>
              </w:rPr>
              <w:alias w:val="1180"/>
              <w:tag w:val="1180"/>
              <w:id w:val="1396624791"/>
              <w:text w:multiLine="1"/>
            </w:sdtPr>
            <w:sdtEndPr/>
            <w:sdtContent>
              <w:p w:rsidR="008263FF" w:rsidRPr="00DD7B65" w:rsidRDefault="008263FF" w:rsidP="00EA5C43">
                <w:pPr>
                  <w:suppressLineNumbers/>
                  <w:rPr>
                    <w:rFonts w:ascii="Arial" w:hAnsi="Arial"/>
                    <w:b/>
                    <w:bCs/>
                    <w:noProof w:val="0"/>
                    <w:sz w:val="26"/>
                    <w:szCs w:val="26"/>
                    <w:rtl/>
                  </w:rPr>
                </w:pPr>
                <w:r w:rsidRPr="00DD7B65">
                  <w:rPr>
                    <w:rFonts w:ascii="Arial" w:hAnsi="Arial" w:hint="cs"/>
                    <w:b/>
                    <w:bCs/>
                    <w:noProof w:val="0"/>
                    <w:sz w:val="26"/>
                    <w:szCs w:val="26"/>
                    <w:rtl/>
                  </w:rPr>
                  <w:t>מבקשת</w:t>
                </w:r>
              </w:p>
            </w:sdtContent>
          </w:sdt>
        </w:tc>
        <w:tc>
          <w:tcPr>
            <w:tcW w:w="5852" w:type="dxa"/>
          </w:tcPr>
          <w:p w:rsidR="008263FF" w:rsidRPr="00DD7B65" w:rsidRDefault="008263FF" w:rsidP="00EA5C43">
            <w:pPr>
              <w:suppressLineNumbers/>
              <w:rPr>
                <w:rFonts w:ascii="Arial" w:hAnsi="Arial"/>
                <w:b/>
                <w:bCs/>
                <w:noProof w:val="0"/>
                <w:sz w:val="26"/>
                <w:szCs w:val="26"/>
                <w:rtl/>
              </w:rPr>
            </w:pPr>
          </w:p>
          <w:p w:rsidR="008263FF" w:rsidRPr="00DD7B65" w:rsidRDefault="00B20B0F" w:rsidP="00EA5C43">
            <w:pPr>
              <w:spacing w:line="360" w:lineRule="auto"/>
              <w:rPr>
                <w:b/>
                <w:bCs/>
                <w:sz w:val="26"/>
                <w:szCs w:val="26"/>
                <w:rtl/>
              </w:rPr>
            </w:pPr>
            <w:r>
              <w:rPr>
                <w:rFonts w:hint="cs"/>
                <w:b/>
                <w:bCs/>
                <w:sz w:val="26"/>
                <w:szCs w:val="26"/>
                <w:rtl/>
              </w:rPr>
              <w:t>מ. מ</w:t>
            </w:r>
          </w:p>
          <w:p w:rsidR="008263FF" w:rsidRPr="00DD7B65" w:rsidRDefault="008263FF" w:rsidP="008263FF">
            <w:pPr>
              <w:spacing w:after="240" w:line="360" w:lineRule="auto"/>
              <w:rPr>
                <w:b/>
                <w:bCs/>
                <w:noProof w:val="0"/>
                <w:sz w:val="26"/>
                <w:szCs w:val="26"/>
              </w:rPr>
            </w:pPr>
            <w:r w:rsidRPr="00DD7B65">
              <w:rPr>
                <w:b/>
                <w:bCs/>
                <w:sz w:val="26"/>
                <w:szCs w:val="26"/>
                <w:rtl/>
              </w:rPr>
              <w:t xml:space="preserve">ע"י ב"כ עו"ד </w:t>
            </w:r>
            <w:r w:rsidRPr="00DD7B65">
              <w:rPr>
                <w:rFonts w:hint="cs"/>
                <w:b/>
                <w:bCs/>
                <w:sz w:val="26"/>
                <w:szCs w:val="26"/>
                <w:rtl/>
              </w:rPr>
              <w:t>מתת פלסנר</w:t>
            </w:r>
          </w:p>
        </w:tc>
      </w:tr>
      <w:tr w:rsidR="008263FF" w:rsidTr="008263FF">
        <w:trPr>
          <w:jc w:val="center"/>
        </w:trPr>
        <w:tc>
          <w:tcPr>
            <w:tcW w:w="9101" w:type="dxa"/>
            <w:gridSpan w:val="3"/>
          </w:tcPr>
          <w:p w:rsidR="008263FF" w:rsidRPr="00DD7B65" w:rsidRDefault="008263FF" w:rsidP="00EA5C43">
            <w:pPr>
              <w:suppressLineNumbers/>
              <w:spacing w:line="360" w:lineRule="auto"/>
              <w:jc w:val="center"/>
              <w:rPr>
                <w:rFonts w:ascii="Arial" w:hAnsi="Arial"/>
                <w:b/>
                <w:bCs/>
                <w:noProof w:val="0"/>
                <w:sz w:val="26"/>
                <w:szCs w:val="26"/>
                <w:rtl/>
              </w:rPr>
            </w:pPr>
            <w:r w:rsidRPr="00DD7B65">
              <w:rPr>
                <w:rFonts w:ascii="Arial" w:hAnsi="Arial"/>
                <w:b/>
                <w:bCs/>
                <w:noProof w:val="0"/>
                <w:sz w:val="26"/>
                <w:szCs w:val="26"/>
                <w:rtl/>
              </w:rPr>
              <w:t>נגד</w:t>
            </w:r>
          </w:p>
          <w:p w:rsidR="008263FF" w:rsidRPr="00DD7B65" w:rsidRDefault="008263FF" w:rsidP="00EA5C43">
            <w:pPr>
              <w:suppressLineNumbers/>
              <w:rPr>
                <w:rFonts w:ascii="Arial" w:hAnsi="Arial"/>
                <w:b/>
                <w:bCs/>
                <w:noProof w:val="0"/>
                <w:sz w:val="26"/>
                <w:szCs w:val="26"/>
              </w:rPr>
            </w:pPr>
          </w:p>
        </w:tc>
      </w:tr>
      <w:tr w:rsidR="008263FF" w:rsidTr="008263FF">
        <w:trPr>
          <w:jc w:val="center"/>
        </w:trPr>
        <w:tc>
          <w:tcPr>
            <w:tcW w:w="3249" w:type="dxa"/>
            <w:gridSpan w:val="2"/>
          </w:tcPr>
          <w:p w:rsidR="008263FF" w:rsidRPr="00DD7B65" w:rsidRDefault="00627487" w:rsidP="00EA5C43">
            <w:pPr>
              <w:suppressLineNumbers/>
              <w:spacing w:after="120"/>
              <w:rPr>
                <w:rFonts w:ascii="Arial" w:hAnsi="Arial"/>
                <w:b/>
                <w:bCs/>
                <w:noProof w:val="0"/>
                <w:sz w:val="26"/>
                <w:szCs w:val="26"/>
              </w:rPr>
            </w:pPr>
            <w:sdt>
              <w:sdtPr>
                <w:rPr>
                  <w:b/>
                  <w:bCs/>
                  <w:sz w:val="26"/>
                  <w:szCs w:val="26"/>
                  <w:rtl/>
                </w:rPr>
                <w:alias w:val="1184"/>
                <w:tag w:val="1184"/>
                <w:id w:val="2136901621"/>
                <w:text w:multiLine="1"/>
              </w:sdtPr>
              <w:sdtEndPr/>
              <w:sdtContent>
                <w:r w:rsidR="008263FF" w:rsidRPr="00DD7B65">
                  <w:rPr>
                    <w:rFonts w:ascii="Arial" w:hAnsi="Arial"/>
                    <w:b/>
                    <w:bCs/>
                    <w:noProof w:val="0"/>
                    <w:sz w:val="26"/>
                    <w:szCs w:val="26"/>
                    <w:rtl/>
                  </w:rPr>
                  <w:t>משיב</w:t>
                </w:r>
                <w:r w:rsidR="008263FF" w:rsidRPr="00DD7B65">
                  <w:rPr>
                    <w:rFonts w:ascii="Arial" w:hAnsi="Arial"/>
                    <w:b/>
                    <w:bCs/>
                    <w:noProof w:val="0"/>
                    <w:sz w:val="26"/>
                    <w:szCs w:val="26"/>
                    <w:rtl/>
                  </w:rPr>
                  <w:br/>
                </w:r>
                <w:r w:rsidR="008263FF" w:rsidRPr="00DD7B65">
                  <w:rPr>
                    <w:b/>
                    <w:bCs/>
                    <w:sz w:val="26"/>
                    <w:szCs w:val="26"/>
                    <w:rtl/>
                  </w:rPr>
                  <w:br/>
                </w:r>
                <w:r w:rsidR="008263FF" w:rsidRPr="00DD7B65">
                  <w:rPr>
                    <w:b/>
                    <w:bCs/>
                    <w:sz w:val="26"/>
                    <w:szCs w:val="26"/>
                    <w:rtl/>
                  </w:rPr>
                  <w:br/>
                </w:r>
                <w:r w:rsidR="008263FF" w:rsidRPr="00DD7B65">
                  <w:rPr>
                    <w:b/>
                    <w:bCs/>
                    <w:sz w:val="26"/>
                    <w:szCs w:val="26"/>
                    <w:rtl/>
                  </w:rPr>
                  <w:br/>
                </w:r>
                <w:r w:rsidR="008263FF" w:rsidRPr="00DD7B65">
                  <w:rPr>
                    <w:b/>
                    <w:bCs/>
                    <w:sz w:val="26"/>
                    <w:szCs w:val="26"/>
                    <w:rtl/>
                  </w:rPr>
                  <w:br/>
                </w:r>
                <w:r w:rsidR="008263FF" w:rsidRPr="00DD7B65">
                  <w:rPr>
                    <w:rFonts w:hint="cs"/>
                    <w:b/>
                    <w:bCs/>
                    <w:sz w:val="26"/>
                    <w:szCs w:val="26"/>
                    <w:rtl/>
                  </w:rPr>
                  <w:t>הקטין</w:t>
                </w:r>
              </w:sdtContent>
            </w:sdt>
          </w:p>
        </w:tc>
        <w:tc>
          <w:tcPr>
            <w:tcW w:w="5852" w:type="dxa"/>
          </w:tcPr>
          <w:p w:rsidR="008263FF" w:rsidRPr="00DD7B65" w:rsidRDefault="00627487" w:rsidP="00B20B0F">
            <w:pPr>
              <w:suppressLineNumbers/>
              <w:spacing w:before="120" w:after="120" w:line="360" w:lineRule="auto"/>
              <w:rPr>
                <w:rFonts w:ascii="Arial" w:hAnsi="Arial"/>
                <w:b/>
                <w:bCs/>
                <w:noProof w:val="0"/>
                <w:sz w:val="26"/>
                <w:szCs w:val="26"/>
                <w:rtl/>
              </w:rPr>
            </w:pPr>
            <w:sdt>
              <w:sdtPr>
                <w:rPr>
                  <w:b/>
                  <w:bCs/>
                  <w:sz w:val="26"/>
                  <w:szCs w:val="26"/>
                  <w:rtl/>
                </w:rPr>
                <w:alias w:val="1571"/>
                <w:tag w:val="1571"/>
                <w:id w:val="1028836282"/>
                <w:text w:multiLine="1"/>
              </w:sdtPr>
              <w:sdtEndPr/>
              <w:sdtContent>
                <w:r w:rsidR="00B20B0F">
                  <w:rPr>
                    <w:rFonts w:hint="cs"/>
                    <w:b/>
                    <w:bCs/>
                    <w:sz w:val="26"/>
                    <w:szCs w:val="26"/>
                    <w:rtl/>
                  </w:rPr>
                  <w:t>ע. מ</w:t>
                </w:r>
                <w:r w:rsidR="008263FF" w:rsidRPr="00DD7B65">
                  <w:rPr>
                    <w:b/>
                    <w:bCs/>
                    <w:sz w:val="26"/>
                    <w:szCs w:val="26"/>
                    <w:rtl/>
                  </w:rPr>
                  <w:br/>
                </w:r>
                <w:r w:rsidR="008263FF" w:rsidRPr="00DD7B65">
                  <w:rPr>
                    <w:rFonts w:hint="cs"/>
                    <w:b/>
                    <w:bCs/>
                    <w:sz w:val="26"/>
                    <w:szCs w:val="26"/>
                    <w:rtl/>
                  </w:rPr>
                  <w:t>ע"י ב"כ עו"ד קרן וינברג</w:t>
                </w:r>
                <w:r w:rsidR="008263FF" w:rsidRPr="00DD7B65">
                  <w:rPr>
                    <w:b/>
                    <w:bCs/>
                    <w:sz w:val="26"/>
                    <w:szCs w:val="26"/>
                    <w:rtl/>
                  </w:rPr>
                  <w:br/>
                </w:r>
                <w:r w:rsidR="008263FF" w:rsidRPr="00DD7B65">
                  <w:rPr>
                    <w:b/>
                    <w:bCs/>
                    <w:sz w:val="26"/>
                    <w:szCs w:val="26"/>
                    <w:rtl/>
                  </w:rPr>
                  <w:br/>
                </w:r>
                <w:r w:rsidR="00B20B0F">
                  <w:rPr>
                    <w:rFonts w:hint="cs"/>
                    <w:b/>
                    <w:bCs/>
                    <w:sz w:val="26"/>
                    <w:szCs w:val="26"/>
                    <w:rtl/>
                  </w:rPr>
                  <w:t>ר. נ. מ</w:t>
                </w:r>
                <w:r w:rsidR="008263FF" w:rsidRPr="00DD7B65">
                  <w:rPr>
                    <w:rFonts w:hint="cs"/>
                    <w:b/>
                    <w:bCs/>
                    <w:sz w:val="26"/>
                    <w:szCs w:val="26"/>
                    <w:rtl/>
                  </w:rPr>
                  <w:t xml:space="preserve"> יליד </w:t>
                </w:r>
                <w:r w:rsidR="00B20B0F">
                  <w:rPr>
                    <w:rFonts w:hint="cs"/>
                    <w:b/>
                    <w:bCs/>
                    <w:sz w:val="26"/>
                    <w:szCs w:val="26"/>
                    <w:rtl/>
                  </w:rPr>
                  <w:t>2020</w:t>
                </w:r>
              </w:sdtContent>
            </w:sdt>
          </w:p>
        </w:tc>
      </w:tr>
      <w:tr w:rsidR="008263FF" w:rsidTr="008263FF">
        <w:trPr>
          <w:jc w:val="center"/>
        </w:trPr>
        <w:tc>
          <w:tcPr>
            <w:tcW w:w="3249" w:type="dxa"/>
            <w:gridSpan w:val="2"/>
          </w:tcPr>
          <w:p w:rsidR="008263FF" w:rsidRDefault="008263FF" w:rsidP="00EA5C43">
            <w:pPr>
              <w:rPr>
                <w:rFonts w:ascii="David" w:eastAsia="David" w:hAnsi="David"/>
                <w:noProof w:val="0"/>
              </w:rPr>
            </w:pPr>
          </w:p>
        </w:tc>
        <w:tc>
          <w:tcPr>
            <w:tcW w:w="5852" w:type="dxa"/>
          </w:tcPr>
          <w:p w:rsidR="008263FF" w:rsidRDefault="008263FF" w:rsidP="00EA5C43">
            <w:pPr>
              <w:rPr>
                <w:b/>
                <w:bCs/>
                <w:sz w:val="26"/>
                <w:szCs w:val="26"/>
              </w:rPr>
            </w:pPr>
          </w:p>
        </w:tc>
      </w:tr>
      <w:tr w:rsidR="008263FF" w:rsidTr="008263FF">
        <w:trPr>
          <w:jc w:val="center"/>
        </w:trPr>
        <w:tc>
          <w:tcPr>
            <w:tcW w:w="9101" w:type="dxa"/>
            <w:gridSpan w:val="3"/>
          </w:tcPr>
          <w:p w:rsidR="008263FF" w:rsidRPr="00114BD7" w:rsidRDefault="008263FF" w:rsidP="00EA5C43">
            <w:pPr>
              <w:suppressLineNumbers/>
              <w:rPr>
                <w:rFonts w:ascii="Arial" w:hAnsi="Arial"/>
                <w:b/>
                <w:bCs/>
                <w:noProof w:val="0"/>
                <w:sz w:val="26"/>
                <w:szCs w:val="26"/>
                <w:rtl/>
              </w:rPr>
            </w:pPr>
          </w:p>
        </w:tc>
      </w:tr>
      <w:tr w:rsidR="008263FF" w:rsidRPr="00DE1E7D" w:rsidTr="008263FF">
        <w:trPr>
          <w:jc w:val="center"/>
        </w:trPr>
        <w:tc>
          <w:tcPr>
            <w:tcW w:w="9101" w:type="dxa"/>
            <w:gridSpan w:val="3"/>
          </w:tcPr>
          <w:p w:rsidR="008263FF" w:rsidRDefault="008263FF" w:rsidP="00EA5C43">
            <w:pPr>
              <w:bidi w:val="0"/>
              <w:jc w:val="center"/>
              <w:rPr>
                <w:rFonts w:ascii="Arial" w:hAnsi="Arial"/>
                <w:b/>
                <w:bCs/>
                <w:noProof w:val="0"/>
                <w:sz w:val="28"/>
                <w:szCs w:val="28"/>
                <w:u w:val="single"/>
                <w:rtl/>
              </w:rPr>
            </w:pPr>
            <w:r>
              <w:rPr>
                <w:rFonts w:ascii="Arial" w:hAnsi="Arial" w:hint="cs"/>
                <w:b/>
                <w:bCs/>
                <w:noProof w:val="0"/>
                <w:sz w:val="28"/>
                <w:szCs w:val="28"/>
                <w:u w:val="single"/>
                <w:rtl/>
              </w:rPr>
              <w:t>פסק דין</w:t>
            </w:r>
          </w:p>
          <w:p w:rsidR="008263FF" w:rsidRPr="00D44968" w:rsidRDefault="008263FF" w:rsidP="00EA5C43">
            <w:pPr>
              <w:bidi w:val="0"/>
              <w:jc w:val="center"/>
              <w:rPr>
                <w:rFonts w:ascii="Arial" w:hAnsi="Arial"/>
                <w:b/>
                <w:bCs/>
                <w:noProof w:val="0"/>
                <w:sz w:val="28"/>
                <w:szCs w:val="28"/>
                <w:u w:val="single"/>
              </w:rPr>
            </w:pPr>
          </w:p>
        </w:tc>
      </w:tr>
    </w:tbl>
    <w:p w:rsidR="008263FF" w:rsidRDefault="008263FF" w:rsidP="00B20B0F">
      <w:pPr>
        <w:spacing w:after="120" w:line="360" w:lineRule="auto"/>
        <w:ind w:left="567" w:hanging="567"/>
        <w:jc w:val="both"/>
        <w:rPr>
          <w:rtl/>
        </w:rPr>
      </w:pPr>
      <w:r>
        <w:rPr>
          <w:rtl/>
        </w:rPr>
        <w:t>1.</w:t>
      </w:r>
      <w:r>
        <w:rPr>
          <w:rtl/>
        </w:rPr>
        <w:tab/>
        <w:t xml:space="preserve">לפני ערעור על החלטת בית המשפט לענייני משפחה </w:t>
      </w:r>
      <w:r>
        <w:rPr>
          <w:rFonts w:hint="cs"/>
          <w:rtl/>
        </w:rPr>
        <w:t>בחדרה</w:t>
      </w:r>
      <w:r>
        <w:rPr>
          <w:rtl/>
        </w:rPr>
        <w:t xml:space="preserve"> (כב' השופט</w:t>
      </w:r>
      <w:r>
        <w:rPr>
          <w:rFonts w:hint="cs"/>
          <w:rtl/>
        </w:rPr>
        <w:t>ת יפעת שקדי שץ</w:t>
      </w:r>
      <w:r>
        <w:rPr>
          <w:rtl/>
        </w:rPr>
        <w:t xml:space="preserve">) מיום </w:t>
      </w:r>
      <w:r>
        <w:rPr>
          <w:rFonts w:hint="cs"/>
          <w:rtl/>
        </w:rPr>
        <w:t>5</w:t>
      </w:r>
      <w:r>
        <w:rPr>
          <w:rtl/>
        </w:rPr>
        <w:t>.</w:t>
      </w:r>
      <w:r>
        <w:rPr>
          <w:rFonts w:hint="cs"/>
          <w:rtl/>
        </w:rPr>
        <w:t>9</w:t>
      </w:r>
      <w:r>
        <w:rPr>
          <w:rtl/>
        </w:rPr>
        <w:t xml:space="preserve">.2023 בתיק </w:t>
      </w:r>
      <w:r>
        <w:rPr>
          <w:rFonts w:hint="cs"/>
          <w:rtl/>
        </w:rPr>
        <w:t>תה"ס</w:t>
      </w:r>
      <w:r>
        <w:rPr>
          <w:rtl/>
        </w:rPr>
        <w:t xml:space="preserve"> </w:t>
      </w:r>
      <w:r>
        <w:rPr>
          <w:rFonts w:hint="cs"/>
          <w:rtl/>
        </w:rPr>
        <w:t>45118</w:t>
      </w:r>
      <w:r>
        <w:rPr>
          <w:rtl/>
        </w:rPr>
        <w:t>-</w:t>
      </w:r>
      <w:r>
        <w:rPr>
          <w:rFonts w:hint="cs"/>
          <w:rtl/>
        </w:rPr>
        <w:t>03</w:t>
      </w:r>
      <w:r>
        <w:rPr>
          <w:rtl/>
        </w:rPr>
        <w:t>-</w:t>
      </w:r>
      <w:r>
        <w:rPr>
          <w:rFonts w:hint="cs"/>
          <w:rtl/>
        </w:rPr>
        <w:t>23</w:t>
      </w:r>
      <w:r>
        <w:rPr>
          <w:rtl/>
        </w:rPr>
        <w:t xml:space="preserve"> (להלן: "</w:t>
      </w:r>
      <w:r>
        <w:rPr>
          <w:b/>
          <w:bCs/>
          <w:rtl/>
        </w:rPr>
        <w:t>ההחלטה קמא</w:t>
      </w:r>
      <w:r>
        <w:rPr>
          <w:rtl/>
        </w:rPr>
        <w:t>" ו – "</w:t>
      </w:r>
      <w:r>
        <w:rPr>
          <w:b/>
          <w:bCs/>
          <w:rtl/>
        </w:rPr>
        <w:t>התיק קמא</w:t>
      </w:r>
      <w:r>
        <w:rPr>
          <w:rtl/>
        </w:rPr>
        <w:t xml:space="preserve">", בהתאמה), במסגרתה </w:t>
      </w:r>
      <w:r>
        <w:rPr>
          <w:rFonts w:hint="cs"/>
          <w:rtl/>
        </w:rPr>
        <w:t xml:space="preserve">הורה בית משפט קמא למבקשת לשוב ולהתגורר עם הקטין בסביבות העיר </w:t>
      </w:r>
      <w:r w:rsidR="00B20B0F">
        <w:rPr>
          <w:rFonts w:hint="cs"/>
        </w:rPr>
        <w:t>X</w:t>
      </w:r>
      <w:r>
        <w:rPr>
          <w:rFonts w:hint="cs"/>
          <w:rtl/>
        </w:rPr>
        <w:t>, והכל כפי שיפורט להלן.</w:t>
      </w:r>
    </w:p>
    <w:p w:rsidR="008263FF" w:rsidRDefault="008263FF" w:rsidP="008263FF">
      <w:pPr>
        <w:spacing w:after="120" w:line="360" w:lineRule="auto"/>
        <w:jc w:val="both"/>
        <w:rPr>
          <w:rtl/>
        </w:rPr>
      </w:pPr>
    </w:p>
    <w:p w:rsidR="008263FF" w:rsidRDefault="008263FF" w:rsidP="008263FF">
      <w:pPr>
        <w:spacing w:after="120" w:line="360" w:lineRule="auto"/>
        <w:jc w:val="both"/>
        <w:rPr>
          <w:b/>
          <w:bCs/>
          <w:u w:val="single"/>
          <w:rtl/>
        </w:rPr>
      </w:pPr>
      <w:r>
        <w:rPr>
          <w:b/>
          <w:bCs/>
          <w:u w:val="single"/>
          <w:rtl/>
        </w:rPr>
        <w:t>רקע בקליפת אגוז</w:t>
      </w:r>
    </w:p>
    <w:p w:rsidR="008263FF" w:rsidRDefault="008263FF" w:rsidP="00B20B0F">
      <w:pPr>
        <w:pStyle w:val="David"/>
        <w:spacing w:after="120"/>
        <w:ind w:left="567" w:hanging="567"/>
        <w:rPr>
          <w:rtl/>
        </w:rPr>
      </w:pPr>
      <w:r>
        <w:rPr>
          <w:rtl/>
        </w:rPr>
        <w:t>2.</w:t>
      </w:r>
      <w:r>
        <w:rPr>
          <w:rtl/>
        </w:rPr>
        <w:tab/>
      </w:r>
      <w:r>
        <w:rPr>
          <w:rFonts w:hint="cs"/>
          <w:rtl/>
        </w:rPr>
        <w:t>המבקשת והמשיב (להלן גם "</w:t>
      </w:r>
      <w:r>
        <w:rPr>
          <w:rFonts w:hint="cs"/>
          <w:b/>
          <w:bCs/>
          <w:rtl/>
        </w:rPr>
        <w:t>האם</w:t>
      </w:r>
      <w:r>
        <w:rPr>
          <w:rFonts w:hint="cs"/>
          <w:rtl/>
        </w:rPr>
        <w:t>" ו-"</w:t>
      </w:r>
      <w:r>
        <w:rPr>
          <w:rFonts w:hint="cs"/>
          <w:b/>
          <w:bCs/>
          <w:rtl/>
        </w:rPr>
        <w:t>האב</w:t>
      </w:r>
      <w:r>
        <w:rPr>
          <w:rFonts w:hint="cs"/>
          <w:rtl/>
        </w:rPr>
        <w:t>" בהתאמה; וביחד יכונו "</w:t>
      </w:r>
      <w:r w:rsidRPr="009D05D0">
        <w:rPr>
          <w:rFonts w:hint="cs"/>
          <w:b/>
          <w:bCs/>
          <w:rtl/>
        </w:rPr>
        <w:t>הצדדים</w:t>
      </w:r>
      <w:r>
        <w:rPr>
          <w:rFonts w:hint="cs"/>
          <w:rtl/>
        </w:rPr>
        <w:t>")</w:t>
      </w:r>
      <w:r>
        <w:rPr>
          <w:rtl/>
        </w:rPr>
        <w:t xml:space="preserve"> </w:t>
      </w:r>
      <w:r>
        <w:rPr>
          <w:rFonts w:hint="cs"/>
          <w:rtl/>
        </w:rPr>
        <w:t xml:space="preserve">נישאו ביום </w:t>
      </w:r>
      <w:r w:rsidR="00B20B0F">
        <w:rPr>
          <w:rFonts w:hint="cs"/>
          <w:rtl/>
        </w:rPr>
        <w:t>...,</w:t>
      </w:r>
      <w:r>
        <w:rPr>
          <w:rFonts w:hint="cs"/>
          <w:rtl/>
        </w:rPr>
        <w:t xml:space="preserve"> במסגרת נישואיהם הביאו לעולם את הקטין אשר פרטיו בכותרת.</w:t>
      </w:r>
    </w:p>
    <w:p w:rsidR="008263FF" w:rsidRDefault="008263FF" w:rsidP="008263FF">
      <w:pPr>
        <w:pStyle w:val="David"/>
        <w:spacing w:after="120"/>
        <w:ind w:left="567" w:hanging="567"/>
        <w:rPr>
          <w:rtl/>
        </w:rPr>
      </w:pPr>
      <w:r>
        <w:rPr>
          <w:rtl/>
        </w:rPr>
        <w:tab/>
      </w:r>
      <w:r>
        <w:rPr>
          <w:rFonts w:hint="cs"/>
          <w:rtl/>
        </w:rPr>
        <w:t>יוער כי אלה נישואיהם השניים של שני הצדדים. למבקשת ילדה מנישואיה הקודמים, ולמשיב ילד מנישואיו הקודמים.</w:t>
      </w:r>
    </w:p>
    <w:p w:rsidR="008263FF" w:rsidRDefault="008263FF" w:rsidP="008263FF">
      <w:pPr>
        <w:pStyle w:val="David"/>
        <w:spacing w:after="120"/>
        <w:ind w:left="567" w:hanging="567"/>
        <w:rPr>
          <w:rtl/>
        </w:rPr>
      </w:pPr>
      <w:r>
        <w:rPr>
          <w:rFonts w:hint="cs"/>
          <w:rtl/>
        </w:rPr>
        <w:t>3.</w:t>
      </w:r>
      <w:r>
        <w:rPr>
          <w:rFonts w:hint="cs"/>
          <w:rtl/>
        </w:rPr>
        <w:tab/>
        <w:t>יחסי הצדדים עלו על שרטון וביום 19.6.2022 חתמו על הסכם שלום בית ולחילופין גירושין, אשר ניתן לו תוקף של פסק דין ביום 31.7.2022 (להלן: "</w:t>
      </w:r>
      <w:r w:rsidRPr="00357669">
        <w:rPr>
          <w:rFonts w:hint="cs"/>
          <w:b/>
          <w:bCs/>
          <w:rtl/>
        </w:rPr>
        <w:t>ההסכם</w:t>
      </w:r>
      <w:r>
        <w:rPr>
          <w:rFonts w:hint="cs"/>
          <w:rtl/>
        </w:rPr>
        <w:t xml:space="preserve">"). שלום הבית לא צלח והצדדים נפרדו ביום 25.2.2023, כך נטען בכתב התביעה קמא. </w:t>
      </w:r>
    </w:p>
    <w:p w:rsidR="008263FF" w:rsidRDefault="008263FF" w:rsidP="008263FF">
      <w:pPr>
        <w:pStyle w:val="David"/>
        <w:spacing w:after="120"/>
        <w:ind w:left="567" w:hanging="567"/>
        <w:rPr>
          <w:rtl/>
        </w:rPr>
      </w:pPr>
      <w:r>
        <w:rPr>
          <w:rtl/>
        </w:rPr>
        <w:tab/>
      </w:r>
      <w:r>
        <w:rPr>
          <w:rFonts w:hint="cs"/>
          <w:rtl/>
        </w:rPr>
        <w:t xml:space="preserve">יצוין כי במסגרת ההסכם נקבע סכום המזונות החודשי שעל המשיב לשלם למבקשת עבור הקטין, בסך כולל של 1700 ₪. </w:t>
      </w:r>
    </w:p>
    <w:p w:rsidR="008263FF" w:rsidRDefault="008263FF" w:rsidP="008263FF">
      <w:pPr>
        <w:pStyle w:val="David"/>
        <w:spacing w:after="120"/>
        <w:ind w:left="567" w:hanging="567"/>
        <w:rPr>
          <w:rtl/>
        </w:rPr>
      </w:pPr>
      <w:r>
        <w:rPr>
          <w:rFonts w:hint="cs"/>
          <w:rtl/>
        </w:rPr>
        <w:t>4.</w:t>
      </w:r>
      <w:r>
        <w:rPr>
          <w:rFonts w:hint="cs"/>
          <w:rtl/>
        </w:rPr>
        <w:tab/>
      </w:r>
      <w:r>
        <w:rPr>
          <w:rtl/>
        </w:rPr>
        <w:t xml:space="preserve">ביום </w:t>
      </w:r>
      <w:r>
        <w:rPr>
          <w:rFonts w:hint="cs"/>
          <w:rtl/>
        </w:rPr>
        <w:t>20.3.2023 הגיש המשיב את התובענה בתיק קמא, לאכיפת ההסכם למעט החלק הקובע את האחריות ההורית; במסגרת התובענה קמא ביקש המשיב להורות, כי האחריות ההורית על הקטין תינתן למשיב באופן בלעדי, ויינתנו לו מלוא הסמכויות לרבות בענייני רפואה וחינוך.</w:t>
      </w:r>
    </w:p>
    <w:p w:rsidR="008263FF" w:rsidRDefault="008263FF" w:rsidP="008263FF">
      <w:pPr>
        <w:pStyle w:val="David"/>
        <w:spacing w:after="120"/>
        <w:ind w:left="567" w:hanging="567"/>
        <w:rPr>
          <w:rtl/>
        </w:rPr>
      </w:pPr>
      <w:r>
        <w:rPr>
          <w:rFonts w:hint="cs"/>
          <w:rtl/>
        </w:rPr>
        <w:lastRenderedPageBreak/>
        <w:t>5.</w:t>
      </w:r>
      <w:r>
        <w:rPr>
          <w:rFonts w:hint="cs"/>
          <w:rtl/>
        </w:rPr>
        <w:tab/>
        <w:t xml:space="preserve">להשלמת התמונה ייאמר, כי המבקשת הגישה תביעה </w:t>
      </w:r>
      <w:r>
        <w:rPr>
          <w:rFonts w:ascii="Arial" w:hAnsi="Arial"/>
          <w:rtl/>
        </w:rPr>
        <w:t>למזונות ומדור (תלה"מ 37907-03-23) ו</w:t>
      </w:r>
      <w:r>
        <w:rPr>
          <w:rFonts w:ascii="Arial" w:hAnsi="Arial" w:hint="cs"/>
          <w:rtl/>
        </w:rPr>
        <w:t xml:space="preserve">כן </w:t>
      </w:r>
      <w:r>
        <w:rPr>
          <w:rFonts w:ascii="Arial" w:hAnsi="Arial"/>
          <w:rtl/>
        </w:rPr>
        <w:t>תביעה בעניינו של קטין (תלה"מ 11529-03-23)</w:t>
      </w:r>
      <w:r>
        <w:rPr>
          <w:rFonts w:hint="cs"/>
          <w:rtl/>
        </w:rPr>
        <w:t xml:space="preserve">, שתי התביעות נמחקו במסגרת החלטת בית המשפט קמא, מהנימוקים שפורטו שם; כן נוסיף, כי לצד התביעה קמא תלויה ועומדת תביעתה של המבקשת לביטול ההסכם (תה"ס 21782-04-23). </w:t>
      </w:r>
    </w:p>
    <w:p w:rsidR="008263FF" w:rsidRDefault="008263FF" w:rsidP="00B20B0F">
      <w:pPr>
        <w:pStyle w:val="David"/>
        <w:spacing w:after="120"/>
        <w:ind w:left="567" w:hanging="567"/>
        <w:rPr>
          <w:rFonts w:ascii="Arial" w:hAnsi="Arial"/>
          <w:highlight w:val="yellow"/>
          <w:rtl/>
        </w:rPr>
      </w:pPr>
      <w:r>
        <w:rPr>
          <w:rFonts w:hint="cs"/>
          <w:rtl/>
        </w:rPr>
        <w:t>6.</w:t>
      </w:r>
      <w:r>
        <w:rPr>
          <w:rFonts w:hint="cs"/>
          <w:rtl/>
        </w:rPr>
        <w:tab/>
      </w:r>
      <w:r w:rsidRPr="003B5412">
        <w:rPr>
          <w:rFonts w:hint="cs"/>
          <w:rtl/>
        </w:rPr>
        <w:t xml:space="preserve">כפי שפורט בהחלטה קמא, </w:t>
      </w:r>
      <w:r w:rsidRPr="003B5412">
        <w:rPr>
          <w:rFonts w:ascii="Arial" w:hAnsi="Arial"/>
          <w:rtl/>
        </w:rPr>
        <w:t xml:space="preserve">סעיף 38 להסכם קובע כי הקטין ימשיך להתגורר במרכז חייו בעיר </w:t>
      </w:r>
      <w:r w:rsidR="00B20B0F">
        <w:rPr>
          <w:rFonts w:ascii="Arial" w:hAnsi="Arial" w:hint="cs"/>
        </w:rPr>
        <w:t>X</w:t>
      </w:r>
      <w:r w:rsidRPr="003B5412">
        <w:rPr>
          <w:rFonts w:ascii="Arial" w:hAnsi="Arial"/>
          <w:rtl/>
        </w:rPr>
        <w:t xml:space="preserve">. בסעיף 45 להסכם הוסכם כי כל אחד מהצדדים רשאי להתגורר בתחום שבין הערים </w:t>
      </w:r>
      <w:r w:rsidR="00B20B0F">
        <w:rPr>
          <w:rFonts w:ascii="Arial" w:hAnsi="Arial" w:hint="cs"/>
        </w:rPr>
        <w:t>X</w:t>
      </w:r>
      <w:r w:rsidRPr="003B5412">
        <w:rPr>
          <w:rFonts w:ascii="Arial" w:hAnsi="Arial"/>
          <w:rtl/>
        </w:rPr>
        <w:t xml:space="preserve"> - </w:t>
      </w:r>
      <w:r w:rsidR="00B20B0F">
        <w:rPr>
          <w:rFonts w:ascii="Arial" w:hAnsi="Arial" w:hint="cs"/>
        </w:rPr>
        <w:t>Y</w:t>
      </w:r>
      <w:r w:rsidRPr="003B5412">
        <w:rPr>
          <w:rFonts w:ascii="Arial" w:hAnsi="Arial"/>
          <w:rtl/>
        </w:rPr>
        <w:t xml:space="preserve">. סעיף 46 להסכם קובע כי מעבר למקום מגורים מחוץ לתחום זה, טעון אישור ההורה האחר. </w:t>
      </w:r>
    </w:p>
    <w:p w:rsidR="008263FF" w:rsidRPr="003B5412" w:rsidRDefault="008263FF" w:rsidP="00B20B0F">
      <w:pPr>
        <w:pStyle w:val="David"/>
        <w:spacing w:after="120"/>
        <w:ind w:left="567" w:hanging="567"/>
      </w:pPr>
      <w:r w:rsidRPr="003B5412">
        <w:rPr>
          <w:rFonts w:ascii="Arial" w:hAnsi="Arial" w:hint="cs"/>
          <w:rtl/>
        </w:rPr>
        <w:t>7.</w:t>
      </w:r>
      <w:r w:rsidRPr="003B5412">
        <w:rPr>
          <w:rFonts w:ascii="Arial" w:hAnsi="Arial" w:hint="cs"/>
          <w:rtl/>
        </w:rPr>
        <w:tab/>
      </w:r>
      <w:r w:rsidRPr="003B5412">
        <w:rPr>
          <w:rFonts w:ascii="Arial" w:hAnsi="Arial"/>
          <w:rtl/>
        </w:rPr>
        <w:t>ביום 28.2.2023 המבקש</w:t>
      </w:r>
      <w:r w:rsidR="00B20B0F">
        <w:rPr>
          <w:rFonts w:ascii="Arial" w:hAnsi="Arial"/>
          <w:rtl/>
        </w:rPr>
        <w:t>ת עברה להתגורר בבית הוריה במושב</w:t>
      </w:r>
      <w:r>
        <w:rPr>
          <w:rFonts w:ascii="Arial" w:hAnsi="Arial" w:hint="cs"/>
          <w:rtl/>
        </w:rPr>
        <w:t xml:space="preserve">, המצוי מחוץ לתחום שהוסכם עליו בין הצדדים (היינו, לא בתחום </w:t>
      </w:r>
      <w:r w:rsidR="00B20B0F">
        <w:rPr>
          <w:rFonts w:ascii="Arial" w:hAnsi="Arial" w:hint="cs"/>
        </w:rPr>
        <w:t>X</w:t>
      </w:r>
      <w:r>
        <w:rPr>
          <w:rFonts w:ascii="Arial" w:hAnsi="Arial" w:hint="cs"/>
          <w:rtl/>
        </w:rPr>
        <w:t xml:space="preserve"> </w:t>
      </w:r>
      <w:r>
        <w:rPr>
          <w:rFonts w:ascii="Arial" w:hAnsi="Arial"/>
          <w:rtl/>
        </w:rPr>
        <w:t>–</w:t>
      </w:r>
      <w:r>
        <w:rPr>
          <w:rFonts w:ascii="Arial" w:hAnsi="Arial" w:hint="cs"/>
          <w:rtl/>
        </w:rPr>
        <w:t xml:space="preserve"> </w:t>
      </w:r>
      <w:r w:rsidR="00B20B0F">
        <w:rPr>
          <w:rFonts w:ascii="Arial" w:hAnsi="Arial" w:hint="cs"/>
        </w:rPr>
        <w:t>Y</w:t>
      </w:r>
      <w:r>
        <w:rPr>
          <w:rFonts w:ascii="Arial" w:hAnsi="Arial" w:hint="cs"/>
          <w:rtl/>
        </w:rPr>
        <w:t>)</w:t>
      </w:r>
      <w:r w:rsidRPr="003B5412">
        <w:rPr>
          <w:rFonts w:ascii="Arial" w:hAnsi="Arial"/>
          <w:rtl/>
        </w:rPr>
        <w:t>.</w:t>
      </w:r>
      <w:r>
        <w:rPr>
          <w:rFonts w:hint="cs"/>
          <w:rtl/>
        </w:rPr>
        <w:t xml:space="preserve"> הקטין אף החל לפקוד את הגן במושב בתחילת שנת הלימודים הנוכחית.</w:t>
      </w:r>
    </w:p>
    <w:p w:rsidR="008263FF" w:rsidRPr="003B5412" w:rsidRDefault="008263FF" w:rsidP="00B20B0F">
      <w:pPr>
        <w:pStyle w:val="ad"/>
        <w:spacing w:after="120" w:line="360" w:lineRule="auto"/>
        <w:ind w:left="567"/>
        <w:contextualSpacing w:val="0"/>
        <w:jc w:val="both"/>
        <w:rPr>
          <w:rFonts w:ascii="Arial" w:hAnsi="Arial"/>
          <w:noProof w:val="0"/>
          <w:rtl/>
        </w:rPr>
      </w:pPr>
      <w:r w:rsidRPr="003B5412">
        <w:rPr>
          <w:rFonts w:ascii="Arial" w:hAnsi="Arial" w:hint="cs"/>
          <w:noProof w:val="0"/>
          <w:rtl/>
        </w:rPr>
        <w:t xml:space="preserve">עוד פורט בהחלטה קמא, כי </w:t>
      </w:r>
      <w:r w:rsidRPr="003B5412">
        <w:rPr>
          <w:rFonts w:ascii="Arial" w:hAnsi="Arial"/>
          <w:noProof w:val="0"/>
          <w:rtl/>
        </w:rPr>
        <w:t>המשיב טען שלצדדים הייתה בעיה כלכלית והוא לא יכול היה להמשיך ולהתחייב ל</w:t>
      </w:r>
      <w:r>
        <w:rPr>
          <w:rFonts w:ascii="Arial" w:hAnsi="Arial" w:hint="cs"/>
          <w:noProof w:val="0"/>
          <w:rtl/>
        </w:rPr>
        <w:t>שכור</w:t>
      </w:r>
      <w:r w:rsidRPr="003B5412">
        <w:rPr>
          <w:rFonts w:ascii="Arial" w:hAnsi="Arial"/>
          <w:noProof w:val="0"/>
          <w:rtl/>
        </w:rPr>
        <w:t xml:space="preserve"> דירה</w:t>
      </w:r>
      <w:r>
        <w:rPr>
          <w:rFonts w:ascii="Arial" w:hAnsi="Arial" w:hint="cs"/>
          <w:noProof w:val="0"/>
          <w:rtl/>
        </w:rPr>
        <w:t>,</w:t>
      </w:r>
      <w:r w:rsidRPr="003B5412">
        <w:rPr>
          <w:rFonts w:ascii="Arial" w:hAnsi="Arial"/>
          <w:noProof w:val="0"/>
          <w:rtl/>
        </w:rPr>
        <w:t xml:space="preserve"> והמבקשת סירבה </w:t>
      </w:r>
      <w:r>
        <w:rPr>
          <w:rFonts w:ascii="Arial" w:hAnsi="Arial" w:hint="cs"/>
          <w:noProof w:val="0"/>
          <w:rtl/>
        </w:rPr>
        <w:t xml:space="preserve">לעבור </w:t>
      </w:r>
      <w:r w:rsidRPr="003B5412">
        <w:rPr>
          <w:rFonts w:ascii="Arial" w:hAnsi="Arial"/>
          <w:noProof w:val="0"/>
          <w:rtl/>
        </w:rPr>
        <w:t>להתגורר בבית אמו. לטענתו, הוא הסכים שהמבקשת תעבור להתגורר עם הקטין במושב עד סוף שנת הלימודים</w:t>
      </w:r>
      <w:r>
        <w:rPr>
          <w:rFonts w:ascii="Arial" w:hAnsi="Arial" w:hint="cs"/>
          <w:noProof w:val="0"/>
          <w:rtl/>
        </w:rPr>
        <w:t xml:space="preserve"> הקודמת,</w:t>
      </w:r>
      <w:r w:rsidRPr="003B5412">
        <w:rPr>
          <w:rFonts w:ascii="Arial" w:hAnsi="Arial"/>
          <w:noProof w:val="0"/>
          <w:rtl/>
        </w:rPr>
        <w:t xml:space="preserve"> כאשר הם היו בזוגיות, בלית ברירה, ועל מנת לנסות לפתור את המצב הכלכלי אליו נקלעו</w:t>
      </w:r>
      <w:r w:rsidRPr="003B5412">
        <w:rPr>
          <w:rFonts w:ascii="Arial" w:hAnsi="Arial" w:hint="cs"/>
          <w:noProof w:val="0"/>
          <w:rtl/>
        </w:rPr>
        <w:t>.</w:t>
      </w:r>
    </w:p>
    <w:p w:rsidR="008263FF" w:rsidRPr="003B5412" w:rsidRDefault="008263FF" w:rsidP="00B20B0F">
      <w:pPr>
        <w:pStyle w:val="ad"/>
        <w:spacing w:after="120" w:line="360" w:lineRule="auto"/>
        <w:ind w:left="567" w:hanging="567"/>
        <w:contextualSpacing w:val="0"/>
        <w:jc w:val="both"/>
        <w:rPr>
          <w:rFonts w:ascii="Arial" w:hAnsi="Arial"/>
          <w:noProof w:val="0"/>
          <w:rtl/>
        </w:rPr>
      </w:pPr>
      <w:r w:rsidRPr="003B5412">
        <w:rPr>
          <w:rFonts w:ascii="Arial" w:hAnsi="Arial" w:hint="cs"/>
          <w:noProof w:val="0"/>
          <w:rtl/>
        </w:rPr>
        <w:t>8.</w:t>
      </w:r>
      <w:r w:rsidRPr="003B5412">
        <w:rPr>
          <w:rFonts w:ascii="Arial" w:hAnsi="Arial"/>
          <w:noProof w:val="0"/>
          <w:rtl/>
        </w:rPr>
        <w:tab/>
      </w:r>
      <w:r w:rsidRPr="003B5412">
        <w:rPr>
          <w:rFonts w:ascii="Arial" w:hAnsi="Arial" w:hint="cs"/>
          <w:noProof w:val="0"/>
          <w:rtl/>
        </w:rPr>
        <w:t>בהחלטה קמא</w:t>
      </w:r>
      <w:r>
        <w:rPr>
          <w:rFonts w:ascii="Arial" w:hAnsi="Arial" w:hint="cs"/>
          <w:noProof w:val="0"/>
          <w:rtl/>
        </w:rPr>
        <w:t xml:space="preserve"> נקבע</w:t>
      </w:r>
      <w:r w:rsidRPr="003B5412">
        <w:rPr>
          <w:rFonts w:ascii="Arial" w:hAnsi="Arial" w:hint="cs"/>
          <w:noProof w:val="0"/>
          <w:rtl/>
        </w:rPr>
        <w:t>,</w:t>
      </w:r>
      <w:r w:rsidRPr="003B5412">
        <w:rPr>
          <w:rFonts w:ascii="Arial" w:hAnsi="Arial"/>
          <w:noProof w:val="0"/>
          <w:rtl/>
        </w:rPr>
        <w:t xml:space="preserve"> כי</w:t>
      </w:r>
      <w:r w:rsidRPr="003B5412">
        <w:rPr>
          <w:rFonts w:ascii="Arial" w:hAnsi="Arial" w:hint="cs"/>
          <w:noProof w:val="0"/>
          <w:rtl/>
        </w:rPr>
        <w:t xml:space="preserve"> לא</w:t>
      </w:r>
      <w:r w:rsidRPr="003B5412">
        <w:rPr>
          <w:rFonts w:ascii="Arial" w:hAnsi="Arial"/>
          <w:noProof w:val="0"/>
          <w:rtl/>
        </w:rPr>
        <w:t xml:space="preserve"> ניתן ללמוד על הסכמתו של המש</w:t>
      </w:r>
      <w:r w:rsidR="00B20B0F">
        <w:rPr>
          <w:rFonts w:ascii="Arial" w:hAnsi="Arial"/>
          <w:noProof w:val="0"/>
          <w:rtl/>
        </w:rPr>
        <w:t>יב למעבר קבוע של הקטין למושב</w:t>
      </w:r>
      <w:r w:rsidR="00B20B0F">
        <w:rPr>
          <w:rFonts w:ascii="Arial" w:hAnsi="Arial" w:hint="cs"/>
          <w:noProof w:val="0"/>
          <w:rtl/>
        </w:rPr>
        <w:t xml:space="preserve">, </w:t>
      </w:r>
      <w:r w:rsidRPr="003B5412">
        <w:rPr>
          <w:rFonts w:ascii="Arial" w:hAnsi="Arial"/>
          <w:noProof w:val="0"/>
          <w:rtl/>
        </w:rPr>
        <w:t>שעה שבאותו מועד הצדדים היו עד</w:t>
      </w:r>
      <w:r w:rsidRPr="003B5412">
        <w:rPr>
          <w:rFonts w:ascii="Arial" w:hAnsi="Arial" w:hint="cs"/>
          <w:noProof w:val="0"/>
          <w:rtl/>
        </w:rPr>
        <w:t>י</w:t>
      </w:r>
      <w:r w:rsidRPr="003B5412">
        <w:rPr>
          <w:rFonts w:ascii="Arial" w:hAnsi="Arial"/>
          <w:noProof w:val="0"/>
          <w:rtl/>
        </w:rPr>
        <w:t>ין בזוגיות</w:t>
      </w:r>
      <w:r>
        <w:rPr>
          <w:rFonts w:ascii="Arial" w:hAnsi="Arial" w:hint="cs"/>
          <w:noProof w:val="0"/>
          <w:rtl/>
        </w:rPr>
        <w:t>;</w:t>
      </w:r>
      <w:r>
        <w:rPr>
          <w:rFonts w:ascii="Arial" w:hAnsi="Arial"/>
          <w:noProof w:val="0"/>
          <w:rtl/>
        </w:rPr>
        <w:t xml:space="preserve"> </w:t>
      </w:r>
      <w:r>
        <w:rPr>
          <w:rFonts w:ascii="Arial" w:hAnsi="Arial" w:hint="cs"/>
          <w:noProof w:val="0"/>
          <w:rtl/>
        </w:rPr>
        <w:t xml:space="preserve">כאשר </w:t>
      </w:r>
      <w:r w:rsidRPr="003B5412">
        <w:rPr>
          <w:rFonts w:ascii="Arial" w:hAnsi="Arial"/>
          <w:noProof w:val="0"/>
          <w:rtl/>
        </w:rPr>
        <w:t>מי מהצדדים ביקש להיפרד, הרי שאז</w:t>
      </w:r>
      <w:r w:rsidRPr="003B5412">
        <w:rPr>
          <w:rFonts w:ascii="Arial" w:hAnsi="Arial" w:hint="cs"/>
          <w:noProof w:val="0"/>
          <w:rtl/>
        </w:rPr>
        <w:t>, כך נקבע</w:t>
      </w:r>
      <w:r>
        <w:rPr>
          <w:rFonts w:ascii="Arial" w:hAnsi="Arial" w:hint="cs"/>
          <w:noProof w:val="0"/>
          <w:rtl/>
        </w:rPr>
        <w:t xml:space="preserve"> בהחלטה קמא</w:t>
      </w:r>
      <w:r w:rsidRPr="003B5412">
        <w:rPr>
          <w:rFonts w:ascii="Arial" w:hAnsi="Arial" w:hint="cs"/>
          <w:noProof w:val="0"/>
          <w:rtl/>
        </w:rPr>
        <w:t>,</w:t>
      </w:r>
      <w:r>
        <w:rPr>
          <w:rFonts w:ascii="Arial" w:hAnsi="Arial"/>
          <w:noProof w:val="0"/>
          <w:rtl/>
        </w:rPr>
        <w:t xml:space="preserve"> חלו</w:t>
      </w:r>
      <w:r>
        <w:rPr>
          <w:rFonts w:ascii="Arial" w:hAnsi="Arial" w:hint="cs"/>
          <w:noProof w:val="0"/>
          <w:rtl/>
        </w:rPr>
        <w:t>ת</w:t>
      </w:r>
      <w:r w:rsidRPr="003B5412">
        <w:rPr>
          <w:rFonts w:ascii="Arial" w:hAnsi="Arial"/>
          <w:noProof w:val="0"/>
          <w:rtl/>
        </w:rPr>
        <w:t xml:space="preserve"> הוראות ההסכם כמפורט לעיל. </w:t>
      </w:r>
    </w:p>
    <w:p w:rsidR="008263FF" w:rsidRPr="003B5412" w:rsidRDefault="008263FF" w:rsidP="008263FF">
      <w:pPr>
        <w:pStyle w:val="ad"/>
        <w:spacing w:after="120" w:line="360" w:lineRule="auto"/>
        <w:ind w:left="567" w:hanging="567"/>
        <w:contextualSpacing w:val="0"/>
        <w:jc w:val="both"/>
        <w:rPr>
          <w:rFonts w:ascii="Arial" w:hAnsi="Arial"/>
          <w:noProof w:val="0"/>
          <w:rtl/>
        </w:rPr>
      </w:pPr>
      <w:r w:rsidRPr="003B5412">
        <w:rPr>
          <w:rFonts w:ascii="Arial" w:hAnsi="Arial" w:hint="cs"/>
          <w:noProof w:val="0"/>
          <w:rtl/>
        </w:rPr>
        <w:t>9.</w:t>
      </w:r>
      <w:r w:rsidRPr="003B5412">
        <w:rPr>
          <w:rFonts w:ascii="Arial" w:hAnsi="Arial" w:hint="cs"/>
          <w:noProof w:val="0"/>
          <w:rtl/>
        </w:rPr>
        <w:tab/>
      </w:r>
      <w:r w:rsidRPr="003B5412">
        <w:rPr>
          <w:rFonts w:ascii="Arial" w:hAnsi="Arial"/>
          <w:noProof w:val="0"/>
          <w:rtl/>
        </w:rPr>
        <w:t>ביום 4.4.2023 ניתנה החלט</w:t>
      </w:r>
      <w:r w:rsidRPr="003B5412">
        <w:rPr>
          <w:rFonts w:ascii="Arial" w:hAnsi="Arial" w:hint="cs"/>
          <w:noProof w:val="0"/>
          <w:rtl/>
        </w:rPr>
        <w:t xml:space="preserve">ת בית המשפט קמא, </w:t>
      </w:r>
      <w:r w:rsidRPr="003B5412">
        <w:rPr>
          <w:rFonts w:ascii="Arial" w:hAnsi="Arial"/>
          <w:noProof w:val="0"/>
          <w:rtl/>
        </w:rPr>
        <w:t xml:space="preserve">בעניין בקשת המשיב למתן צו עשה המורה על השבת </w:t>
      </w:r>
      <w:r w:rsidRPr="003B5412">
        <w:rPr>
          <w:rFonts w:ascii="Arial" w:hAnsi="Arial" w:hint="cs"/>
          <w:noProof w:val="0"/>
          <w:rtl/>
        </w:rPr>
        <w:t>הקטין</w:t>
      </w:r>
      <w:r w:rsidR="00B20B0F">
        <w:rPr>
          <w:rFonts w:ascii="Arial" w:hAnsi="Arial"/>
          <w:noProof w:val="0"/>
          <w:rtl/>
        </w:rPr>
        <w:t xml:space="preserve"> </w:t>
      </w:r>
      <w:r w:rsidR="00B20B0F">
        <w:rPr>
          <w:rFonts w:ascii="Arial" w:hAnsi="Arial" w:hint="cs"/>
          <w:noProof w:val="0"/>
          <w:rtl/>
        </w:rPr>
        <w:t xml:space="preserve">ל- </w:t>
      </w:r>
      <w:r w:rsidR="00B20B0F">
        <w:rPr>
          <w:rFonts w:ascii="Arial" w:hAnsi="Arial" w:hint="cs"/>
          <w:noProof w:val="0"/>
        </w:rPr>
        <w:t>X</w:t>
      </w:r>
      <w:r w:rsidRPr="003B5412">
        <w:rPr>
          <w:rFonts w:ascii="Arial" w:hAnsi="Arial"/>
          <w:noProof w:val="0"/>
          <w:rtl/>
        </w:rPr>
        <w:t>, ובעניין צו מניעה האוסר על העתקת מקום מגורי</w:t>
      </w:r>
      <w:r w:rsidRPr="003B5412">
        <w:rPr>
          <w:rFonts w:ascii="Arial" w:hAnsi="Arial" w:hint="cs"/>
          <w:noProof w:val="0"/>
          <w:rtl/>
        </w:rPr>
        <w:t xml:space="preserve"> הקטין</w:t>
      </w:r>
      <w:r w:rsidRPr="003B5412">
        <w:rPr>
          <w:rFonts w:ascii="Arial" w:hAnsi="Arial"/>
          <w:noProof w:val="0"/>
          <w:rtl/>
        </w:rPr>
        <w:t xml:space="preserve"> ורישומו למסגרת חינוכית. בהחלטה זו הור</w:t>
      </w:r>
      <w:r w:rsidRPr="003B5412">
        <w:rPr>
          <w:rFonts w:ascii="Arial" w:hAnsi="Arial" w:hint="cs"/>
          <w:noProof w:val="0"/>
          <w:rtl/>
        </w:rPr>
        <w:t>ה בית משפט קמא,</w:t>
      </w:r>
      <w:r w:rsidRPr="003B5412">
        <w:rPr>
          <w:rFonts w:ascii="Arial" w:hAnsi="Arial"/>
          <w:noProof w:val="0"/>
          <w:rtl/>
        </w:rPr>
        <w:t xml:space="preserve"> כי עד למתן החלטה שיפוטית אחרת על המבקשת לשוב ולהתגורר בטווח המגורים הקבוע בהסכם. </w:t>
      </w:r>
    </w:p>
    <w:p w:rsidR="008263FF" w:rsidRDefault="008263FF" w:rsidP="008263FF">
      <w:pPr>
        <w:pStyle w:val="ad"/>
        <w:spacing w:after="120" w:line="360" w:lineRule="auto"/>
        <w:ind w:left="567" w:hanging="567"/>
        <w:contextualSpacing w:val="0"/>
        <w:jc w:val="both"/>
        <w:rPr>
          <w:rFonts w:ascii="Arial" w:hAnsi="Arial"/>
          <w:noProof w:val="0"/>
          <w:rtl/>
        </w:rPr>
      </w:pPr>
      <w:r w:rsidRPr="003B5412">
        <w:rPr>
          <w:rFonts w:ascii="Arial" w:hAnsi="Arial" w:hint="cs"/>
          <w:noProof w:val="0"/>
          <w:rtl/>
        </w:rPr>
        <w:t>10.</w:t>
      </w:r>
      <w:r w:rsidRPr="003B5412">
        <w:rPr>
          <w:rFonts w:ascii="Arial" w:hAnsi="Arial" w:hint="cs"/>
          <w:noProof w:val="0"/>
          <w:rtl/>
        </w:rPr>
        <w:tab/>
      </w:r>
      <w:r w:rsidRPr="003B5412">
        <w:rPr>
          <w:rFonts w:ascii="Arial" w:hAnsi="Arial"/>
          <w:noProof w:val="0"/>
          <w:rtl/>
        </w:rPr>
        <w:t xml:space="preserve">ערעור שהוגש לבית משפט </w:t>
      </w:r>
      <w:r w:rsidRPr="003B5412">
        <w:rPr>
          <w:rFonts w:ascii="Arial" w:hAnsi="Arial" w:hint="cs"/>
          <w:noProof w:val="0"/>
          <w:rtl/>
        </w:rPr>
        <w:t>זה</w:t>
      </w:r>
      <w:r w:rsidRPr="003B5412">
        <w:rPr>
          <w:rFonts w:ascii="Arial" w:hAnsi="Arial"/>
          <w:noProof w:val="0"/>
          <w:rtl/>
        </w:rPr>
        <w:t xml:space="preserve"> ברמ"ש 33176-05-23 </w:t>
      </w:r>
      <w:r w:rsidRPr="003B5412">
        <w:rPr>
          <w:rFonts w:ascii="Arial" w:hAnsi="Arial" w:hint="cs"/>
          <w:noProof w:val="0"/>
          <w:rtl/>
        </w:rPr>
        <w:t xml:space="preserve">(כב' השופט סארי ג'יוסי) </w:t>
      </w:r>
      <w:r w:rsidRPr="003B5412">
        <w:rPr>
          <w:rFonts w:ascii="Arial" w:hAnsi="Arial"/>
          <w:noProof w:val="0"/>
          <w:rtl/>
        </w:rPr>
        <w:t xml:space="preserve">התקבל באופן </w:t>
      </w:r>
      <w:r w:rsidRPr="00601D7C">
        <w:rPr>
          <w:rFonts w:ascii="Arial" w:hAnsi="Arial"/>
          <w:noProof w:val="0"/>
          <w:rtl/>
        </w:rPr>
        <w:t>חלקי (</w:t>
      </w:r>
      <w:r w:rsidRPr="00601D7C">
        <w:rPr>
          <w:rFonts w:ascii="Arial" w:hAnsi="Arial" w:hint="cs"/>
          <w:noProof w:val="0"/>
          <w:rtl/>
        </w:rPr>
        <w:t>להלן:</w:t>
      </w:r>
      <w:r w:rsidRPr="00601D7C">
        <w:rPr>
          <w:rFonts w:ascii="Arial" w:hAnsi="Arial" w:hint="cs"/>
          <w:b/>
          <w:bCs/>
          <w:noProof w:val="0"/>
          <w:rtl/>
        </w:rPr>
        <w:t xml:space="preserve"> </w:t>
      </w:r>
      <w:r w:rsidRPr="00601D7C">
        <w:rPr>
          <w:rFonts w:ascii="Arial" w:hAnsi="Arial"/>
          <w:b/>
          <w:bCs/>
          <w:noProof w:val="0"/>
          <w:rtl/>
        </w:rPr>
        <w:t>"פסק הדין של ערכאת הערעור")</w:t>
      </w:r>
      <w:r w:rsidRPr="00601D7C">
        <w:rPr>
          <w:rFonts w:ascii="Arial" w:hAnsi="Arial"/>
          <w:noProof w:val="0"/>
          <w:rtl/>
        </w:rPr>
        <w:t>.</w:t>
      </w:r>
      <w:r w:rsidRPr="003B5412">
        <w:rPr>
          <w:rFonts w:ascii="Arial" w:hAnsi="Arial"/>
          <w:noProof w:val="0"/>
          <w:rtl/>
        </w:rPr>
        <w:t xml:space="preserve"> </w:t>
      </w:r>
    </w:p>
    <w:p w:rsidR="008263FF" w:rsidRPr="003B5412" w:rsidRDefault="008263FF" w:rsidP="008263FF">
      <w:pPr>
        <w:pStyle w:val="ad"/>
        <w:spacing w:after="120" w:line="360" w:lineRule="auto"/>
        <w:ind w:left="567" w:hanging="567"/>
        <w:contextualSpacing w:val="0"/>
        <w:jc w:val="both"/>
        <w:rPr>
          <w:rFonts w:ascii="Arial" w:hAnsi="Arial"/>
          <w:noProof w:val="0"/>
        </w:rPr>
      </w:pPr>
      <w:r w:rsidRPr="003B5412">
        <w:rPr>
          <w:rFonts w:ascii="Arial" w:hAnsi="Arial" w:hint="cs"/>
          <w:noProof w:val="0"/>
          <w:rtl/>
        </w:rPr>
        <w:t>11.</w:t>
      </w:r>
      <w:r w:rsidRPr="003B5412">
        <w:rPr>
          <w:rFonts w:ascii="Arial" w:hAnsi="Arial" w:hint="cs"/>
          <w:noProof w:val="0"/>
          <w:rtl/>
        </w:rPr>
        <w:tab/>
      </w:r>
      <w:r w:rsidRPr="003B5412">
        <w:rPr>
          <w:rFonts w:ascii="Arial" w:hAnsi="Arial"/>
          <w:noProof w:val="0"/>
          <w:rtl/>
        </w:rPr>
        <w:t xml:space="preserve">בית המשפט </w:t>
      </w:r>
      <w:r w:rsidRPr="003B5412">
        <w:rPr>
          <w:rFonts w:ascii="Arial" w:hAnsi="Arial" w:hint="cs"/>
          <w:noProof w:val="0"/>
          <w:rtl/>
        </w:rPr>
        <w:t>לערעור</w:t>
      </w:r>
      <w:r w:rsidRPr="003B5412">
        <w:rPr>
          <w:rFonts w:ascii="Arial" w:hAnsi="Arial"/>
          <w:noProof w:val="0"/>
          <w:rtl/>
        </w:rPr>
        <w:t xml:space="preserve"> הורה על עיכוב ביצוע ההחלטה מיום 4.4.2023 עד למתן החלטות ברורות וזמניות בעניין מזונות </w:t>
      </w:r>
      <w:r w:rsidR="00B20B0F">
        <w:rPr>
          <w:rFonts w:ascii="Arial" w:hAnsi="Arial"/>
          <w:noProof w:val="0"/>
          <w:rtl/>
        </w:rPr>
        <w:t>הקטין והסדרת סוגיית מגוריו ב</w:t>
      </w:r>
      <w:r w:rsidR="00B20B0F">
        <w:rPr>
          <w:rFonts w:ascii="Arial" w:hAnsi="Arial" w:hint="cs"/>
          <w:noProof w:val="0"/>
          <w:rtl/>
        </w:rPr>
        <w:t>-</w:t>
      </w:r>
      <w:r w:rsidR="00B20B0F">
        <w:rPr>
          <w:rFonts w:ascii="Arial" w:hAnsi="Arial" w:hint="cs"/>
          <w:noProof w:val="0"/>
        </w:rPr>
        <w:t>X</w:t>
      </w:r>
      <w:r w:rsidRPr="003B5412">
        <w:rPr>
          <w:rFonts w:ascii="Arial" w:hAnsi="Arial"/>
          <w:noProof w:val="0"/>
          <w:rtl/>
        </w:rPr>
        <w:t xml:space="preserve">, בשים לב לגילו (סעיף 22 לפסק הדין). </w:t>
      </w:r>
    </w:p>
    <w:p w:rsidR="008263FF" w:rsidRPr="003B5412" w:rsidRDefault="008263FF" w:rsidP="008263FF">
      <w:pPr>
        <w:pStyle w:val="ad"/>
        <w:spacing w:after="120" w:line="360" w:lineRule="auto"/>
        <w:ind w:left="567"/>
        <w:contextualSpacing w:val="0"/>
        <w:jc w:val="both"/>
        <w:rPr>
          <w:rFonts w:ascii="David" w:eastAsia="Calibri" w:hAnsi="David"/>
          <w:noProof w:val="0"/>
          <w:rtl/>
        </w:rPr>
      </w:pPr>
      <w:r w:rsidRPr="003B5412">
        <w:rPr>
          <w:rFonts w:ascii="Arial" w:hAnsi="Arial"/>
          <w:noProof w:val="0"/>
          <w:rtl/>
        </w:rPr>
        <w:t>בית המשפט המחוזי הבהיר ש</w:t>
      </w:r>
      <w:r w:rsidRPr="003B5412">
        <w:rPr>
          <w:rFonts w:ascii="Arial" w:hAnsi="Arial"/>
          <w:b/>
          <w:bCs/>
          <w:noProof w:val="0"/>
          <w:rtl/>
        </w:rPr>
        <w:t>"על בית</w:t>
      </w:r>
      <w:r w:rsidRPr="003B5412">
        <w:rPr>
          <w:rFonts w:ascii="Arial" w:hAnsi="Arial"/>
          <w:noProof w:val="0"/>
          <w:rtl/>
        </w:rPr>
        <w:t xml:space="preserve"> </w:t>
      </w:r>
      <w:r w:rsidRPr="003B5412">
        <w:rPr>
          <w:rFonts w:ascii="David" w:eastAsia="Calibri" w:hAnsi="David"/>
          <w:b/>
          <w:bCs/>
          <w:noProof w:val="0"/>
          <w:rtl/>
        </w:rPr>
        <w:t>משפט קמא ליתן את דעת</w:t>
      </w:r>
      <w:r w:rsidR="00B20B0F">
        <w:rPr>
          <w:rFonts w:ascii="David" w:eastAsia="Calibri" w:hAnsi="David"/>
          <w:b/>
          <w:bCs/>
          <w:noProof w:val="0"/>
          <w:rtl/>
        </w:rPr>
        <w:t>ו טרם מתן הוראה על השבת הקטין ל</w:t>
      </w:r>
      <w:r w:rsidR="00B20B0F">
        <w:rPr>
          <w:rFonts w:ascii="David" w:eastAsia="Calibri" w:hAnsi="David" w:hint="cs"/>
          <w:b/>
          <w:bCs/>
          <w:noProof w:val="0"/>
          <w:rtl/>
        </w:rPr>
        <w:t>-</w:t>
      </w:r>
      <w:r w:rsidR="00B20B0F">
        <w:rPr>
          <w:rFonts w:ascii="David" w:eastAsia="Calibri" w:hAnsi="David" w:hint="cs"/>
          <w:b/>
          <w:bCs/>
          <w:noProof w:val="0"/>
        </w:rPr>
        <w:t>X</w:t>
      </w:r>
      <w:r w:rsidRPr="003B5412">
        <w:rPr>
          <w:rFonts w:ascii="David" w:eastAsia="Calibri" w:hAnsi="David"/>
          <w:b/>
          <w:bCs/>
          <w:noProof w:val="0"/>
          <w:rtl/>
        </w:rPr>
        <w:t>, על אודות יכולתה של המבקשת לשכור דירה מ</w:t>
      </w:r>
      <w:r w:rsidR="00B20B0F">
        <w:rPr>
          <w:rFonts w:ascii="David" w:eastAsia="Calibri" w:hAnsi="David"/>
          <w:b/>
          <w:bCs/>
          <w:noProof w:val="0"/>
          <w:rtl/>
        </w:rPr>
        <w:t>תאימה עבור מגוריה עם הקטין ב</w:t>
      </w:r>
      <w:r w:rsidR="00B20B0F">
        <w:rPr>
          <w:rFonts w:ascii="David" w:eastAsia="Calibri" w:hAnsi="David" w:hint="cs"/>
          <w:b/>
          <w:bCs/>
          <w:noProof w:val="0"/>
          <w:rtl/>
        </w:rPr>
        <w:t>-</w:t>
      </w:r>
      <w:r w:rsidR="00B20B0F">
        <w:rPr>
          <w:rFonts w:ascii="David" w:eastAsia="Calibri" w:hAnsi="David" w:hint="cs"/>
          <w:b/>
          <w:bCs/>
          <w:noProof w:val="0"/>
        </w:rPr>
        <w:t>X</w:t>
      </w:r>
      <w:r w:rsidRPr="003B5412">
        <w:rPr>
          <w:rFonts w:ascii="David" w:eastAsia="Calibri" w:hAnsi="David"/>
          <w:b/>
          <w:bCs/>
          <w:noProof w:val="0"/>
          <w:rtl/>
        </w:rPr>
        <w:t>, בהתאם להסכם, וכי יהא באפשרותה לכלכלו בכבוד, וגם לכלכל את עצמה, בכפוף לתשלום המזונות להם התחייב המשיב, וללא אותה עזרה המתקבלת מהוריה במגוריה אצלם. ככל שהדבר אינו מתאפשר, יבחן בית משפט קמא מהי הדרך המתאימה, אם בכלל, בה ניתן לקיים את ההסכם, האם ניתן לראות בו בנסיבות דנן כהסכם שצודק לאכפו וכיצד, והאם הדבר עולה בקנה אחד עם טובת הקטין וכן יתן דעתו לשאלות נוספות וקשורות שיתעוררו"</w:t>
      </w:r>
      <w:r w:rsidRPr="003B5412">
        <w:rPr>
          <w:rFonts w:ascii="David" w:eastAsia="Calibri" w:hAnsi="David"/>
          <w:noProof w:val="0"/>
          <w:rtl/>
        </w:rPr>
        <w:t xml:space="preserve"> (סעיף 23 לפסק הדין)</w:t>
      </w:r>
      <w:r w:rsidRPr="003B5412">
        <w:rPr>
          <w:rFonts w:ascii="David" w:eastAsia="Calibri" w:hAnsi="David" w:hint="cs"/>
          <w:noProof w:val="0"/>
          <w:rtl/>
        </w:rPr>
        <w:t>.</w:t>
      </w:r>
    </w:p>
    <w:p w:rsidR="008263FF" w:rsidRDefault="008263FF" w:rsidP="008263FF">
      <w:pPr>
        <w:pStyle w:val="ad"/>
        <w:spacing w:after="120" w:line="360" w:lineRule="auto"/>
        <w:ind w:left="567" w:hanging="567"/>
        <w:contextualSpacing w:val="0"/>
        <w:jc w:val="both"/>
        <w:rPr>
          <w:rFonts w:ascii="David" w:eastAsia="Calibri" w:hAnsi="David"/>
          <w:noProof w:val="0"/>
          <w:rtl/>
        </w:rPr>
      </w:pPr>
      <w:r>
        <w:rPr>
          <w:rFonts w:ascii="Arial" w:hAnsi="Arial" w:hint="cs"/>
          <w:noProof w:val="0"/>
          <w:rtl/>
        </w:rPr>
        <w:lastRenderedPageBreak/>
        <w:t>12.</w:t>
      </w:r>
      <w:r>
        <w:rPr>
          <w:rFonts w:ascii="Arial" w:hAnsi="Arial" w:hint="cs"/>
          <w:noProof w:val="0"/>
          <w:rtl/>
        </w:rPr>
        <w:tab/>
        <w:t xml:space="preserve">כאמור בהחלטה קמא, </w:t>
      </w:r>
      <w:r w:rsidRPr="003B5412">
        <w:rPr>
          <w:rFonts w:ascii="Arial" w:hAnsi="Arial"/>
          <w:noProof w:val="0"/>
          <w:rtl/>
        </w:rPr>
        <w:t xml:space="preserve">לאחר שהגישו הצדדים אסמכתאות לעניין יכולתם הכלכלית, </w:t>
      </w:r>
      <w:r>
        <w:rPr>
          <w:rFonts w:ascii="Arial" w:hAnsi="Arial" w:hint="cs"/>
          <w:noProof w:val="0"/>
          <w:rtl/>
        </w:rPr>
        <w:t xml:space="preserve">בחן בית משפט </w:t>
      </w:r>
      <w:r w:rsidRPr="003B5412">
        <w:rPr>
          <w:rFonts w:ascii="Arial" w:hAnsi="Arial" w:hint="cs"/>
          <w:noProof w:val="0"/>
          <w:rtl/>
        </w:rPr>
        <w:t>קמא</w:t>
      </w:r>
      <w:r w:rsidRPr="003B5412">
        <w:rPr>
          <w:rFonts w:ascii="Arial" w:hAnsi="Arial"/>
          <w:noProof w:val="0"/>
          <w:rtl/>
        </w:rPr>
        <w:t xml:space="preserve"> את הנדרש בהתאם לפסק הדין של ערכאת הערעור</w:t>
      </w:r>
      <w:r>
        <w:rPr>
          <w:rFonts w:ascii="Arial" w:hAnsi="Arial" w:hint="cs"/>
          <w:noProof w:val="0"/>
          <w:rtl/>
        </w:rPr>
        <w:t>, והכריע</w:t>
      </w:r>
      <w:r w:rsidRPr="003B5412">
        <w:rPr>
          <w:rFonts w:ascii="Arial" w:hAnsi="Arial" w:hint="cs"/>
          <w:noProof w:val="0"/>
          <w:rtl/>
        </w:rPr>
        <w:t xml:space="preserve"> במסגרת ההחלטה קמא בשאלה, </w:t>
      </w:r>
      <w:r w:rsidRPr="003B5412">
        <w:rPr>
          <w:rFonts w:ascii="Arial" w:hAnsi="Arial"/>
          <w:b/>
          <w:bCs/>
          <w:noProof w:val="0"/>
          <w:u w:val="single"/>
          <w:rtl/>
        </w:rPr>
        <w:t>האם ב</w:t>
      </w:r>
      <w:r w:rsidRPr="003B5412">
        <w:rPr>
          <w:rFonts w:ascii="David" w:eastAsia="Calibri" w:hAnsi="David"/>
          <w:b/>
          <w:bCs/>
          <w:noProof w:val="0"/>
          <w:u w:val="single"/>
          <w:rtl/>
        </w:rPr>
        <w:t>יכולתה של המבקשת לשכור דירה מ</w:t>
      </w:r>
      <w:r w:rsidR="00B20B0F">
        <w:rPr>
          <w:rFonts w:ascii="David" w:eastAsia="Calibri" w:hAnsi="David"/>
          <w:b/>
          <w:bCs/>
          <w:noProof w:val="0"/>
          <w:u w:val="single"/>
          <w:rtl/>
        </w:rPr>
        <w:t>תאימה עבור מגוריה עם הקטין ב</w:t>
      </w:r>
      <w:r w:rsidR="00B20B0F">
        <w:rPr>
          <w:rFonts w:ascii="David" w:eastAsia="Calibri" w:hAnsi="David" w:hint="cs"/>
          <w:b/>
          <w:bCs/>
          <w:noProof w:val="0"/>
          <w:u w:val="single"/>
          <w:rtl/>
        </w:rPr>
        <w:t>-</w:t>
      </w:r>
      <w:r w:rsidR="00B20B0F">
        <w:rPr>
          <w:rFonts w:ascii="David" w:eastAsia="Calibri" w:hAnsi="David" w:hint="cs"/>
          <w:b/>
          <w:bCs/>
          <w:noProof w:val="0"/>
          <w:u w:val="single"/>
        </w:rPr>
        <w:t>X</w:t>
      </w:r>
      <w:r w:rsidRPr="003B5412">
        <w:rPr>
          <w:rFonts w:ascii="David" w:eastAsia="Calibri" w:hAnsi="David"/>
          <w:b/>
          <w:bCs/>
          <w:noProof w:val="0"/>
          <w:u w:val="single"/>
          <w:rtl/>
        </w:rPr>
        <w:t>, וכן לכלכל את הקטין ואותה בכבוד, בכפוף לתשלום המזונות להם התחייב המשיב, וללא אותה עזרה המתקבלת מהוריה במגוריה אצלם</w:t>
      </w:r>
      <w:r w:rsidRPr="003B5412">
        <w:rPr>
          <w:rFonts w:ascii="Arial" w:hAnsi="Arial" w:hint="cs"/>
          <w:noProof w:val="0"/>
          <w:rtl/>
        </w:rPr>
        <w:t>.</w:t>
      </w:r>
    </w:p>
    <w:p w:rsidR="008263FF" w:rsidRPr="003552BC" w:rsidRDefault="008263FF" w:rsidP="008263FF">
      <w:pPr>
        <w:pStyle w:val="ad"/>
        <w:spacing w:after="120" w:line="360" w:lineRule="auto"/>
        <w:ind w:left="567" w:hanging="567"/>
        <w:contextualSpacing w:val="0"/>
        <w:jc w:val="both"/>
        <w:rPr>
          <w:rFonts w:ascii="Arial" w:hAnsi="Arial"/>
          <w:noProof w:val="0"/>
          <w:rtl/>
        </w:rPr>
      </w:pPr>
      <w:r>
        <w:rPr>
          <w:rFonts w:ascii="David" w:eastAsia="Calibri" w:hAnsi="David" w:hint="cs"/>
          <w:noProof w:val="0"/>
          <w:rtl/>
        </w:rPr>
        <w:t>13.</w:t>
      </w:r>
      <w:r>
        <w:rPr>
          <w:rFonts w:ascii="David" w:eastAsia="Calibri" w:hAnsi="David" w:hint="cs"/>
          <w:noProof w:val="0"/>
          <w:rtl/>
        </w:rPr>
        <w:tab/>
      </w:r>
      <w:r>
        <w:rPr>
          <w:rFonts w:ascii="Arial" w:hAnsi="Arial" w:hint="cs"/>
          <w:noProof w:val="0"/>
          <w:rtl/>
        </w:rPr>
        <w:t>להלן נפרט את עיקרי קביעותיו של בית משפט קמא כפי שהובאו בהחלטה קמא, נשוא בקשת רשות הערעור.</w:t>
      </w:r>
    </w:p>
    <w:p w:rsidR="008263FF" w:rsidRPr="00DA6F5D" w:rsidRDefault="008263FF" w:rsidP="008263FF">
      <w:pPr>
        <w:pStyle w:val="ad"/>
        <w:spacing w:after="120" w:line="360" w:lineRule="auto"/>
        <w:ind w:left="567" w:hanging="567"/>
        <w:contextualSpacing w:val="0"/>
        <w:jc w:val="both"/>
        <w:rPr>
          <w:rFonts w:ascii="David" w:eastAsia="Calibri" w:hAnsi="David"/>
          <w:noProof w:val="0"/>
        </w:rPr>
      </w:pPr>
      <w:r w:rsidRPr="003552BC">
        <w:rPr>
          <w:rFonts w:ascii="Arial" w:hAnsi="Arial"/>
          <w:noProof w:val="0"/>
          <w:rtl/>
        </w:rPr>
        <w:tab/>
      </w:r>
      <w:r w:rsidRPr="007E7894">
        <w:rPr>
          <w:rFonts w:ascii="Arial" w:hAnsi="Arial" w:hint="cs"/>
          <w:b/>
          <w:bCs/>
          <w:noProof w:val="0"/>
          <w:u w:val="single"/>
          <w:rtl/>
        </w:rPr>
        <w:t>בכל הקשור ל</w:t>
      </w:r>
      <w:r w:rsidRPr="007E7894">
        <w:rPr>
          <w:rFonts w:ascii="Arial" w:hAnsi="Arial"/>
          <w:b/>
          <w:bCs/>
          <w:noProof w:val="0"/>
          <w:u w:val="single"/>
          <w:rtl/>
        </w:rPr>
        <w:t>הכנסותיה של המבקשת</w:t>
      </w:r>
      <w:r>
        <w:rPr>
          <w:rFonts w:ascii="Arial" w:hAnsi="Arial"/>
          <w:noProof w:val="0"/>
          <w:rtl/>
        </w:rPr>
        <w:t xml:space="preserve"> – המבקשת </w:t>
      </w:r>
      <w:r>
        <w:rPr>
          <w:rFonts w:ascii="Arial" w:hAnsi="Arial" w:hint="cs"/>
          <w:noProof w:val="0"/>
          <w:rtl/>
        </w:rPr>
        <w:t>טענה</w:t>
      </w:r>
      <w:r>
        <w:rPr>
          <w:rFonts w:ascii="Arial" w:hAnsi="Arial"/>
          <w:noProof w:val="0"/>
          <w:rtl/>
        </w:rPr>
        <w:t xml:space="preserve"> כי אינה עובדת. לטענת</w:t>
      </w:r>
      <w:r>
        <w:rPr>
          <w:rFonts w:ascii="Arial" w:hAnsi="Arial" w:hint="cs"/>
          <w:noProof w:val="0"/>
          <w:rtl/>
        </w:rPr>
        <w:t>ה</w:t>
      </w:r>
      <w:r>
        <w:rPr>
          <w:rFonts w:ascii="Arial" w:hAnsi="Arial"/>
          <w:noProof w:val="0"/>
          <w:rtl/>
        </w:rPr>
        <w:t xml:space="preserve">, שעות הנסיעה לצורך קיום זמני השהות מונעות ממנה למצוא מקום עבודה; אין לה הכשרה ומשך חייה לא עבדה ולא למדה.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u w:val="single"/>
          <w:rtl/>
        </w:rPr>
        <w:t>פוטנציאל השתכרות</w:t>
      </w:r>
      <w:r>
        <w:rPr>
          <w:rFonts w:ascii="Arial" w:hAnsi="Arial"/>
          <w:noProof w:val="0"/>
          <w:rtl/>
        </w:rPr>
        <w:t xml:space="preserve"> – </w:t>
      </w:r>
      <w:r>
        <w:rPr>
          <w:rFonts w:ascii="Arial" w:hAnsi="Arial" w:hint="cs"/>
          <w:noProof w:val="0"/>
          <w:rtl/>
        </w:rPr>
        <w:t xml:space="preserve">בהחלטה קמא נקבע כי </w:t>
      </w:r>
      <w:r>
        <w:rPr>
          <w:rFonts w:ascii="Arial" w:hAnsi="Arial"/>
          <w:noProof w:val="0"/>
          <w:rtl/>
        </w:rPr>
        <w:t>בהתאם לתלושים</w:t>
      </w:r>
      <w:r>
        <w:rPr>
          <w:rFonts w:ascii="Arial" w:hAnsi="Arial" w:hint="cs"/>
          <w:noProof w:val="0"/>
          <w:rtl/>
        </w:rPr>
        <w:t xml:space="preserve"> שצירפה המבקשת</w:t>
      </w:r>
      <w:r>
        <w:rPr>
          <w:rFonts w:ascii="Arial" w:hAnsi="Arial"/>
          <w:noProof w:val="0"/>
          <w:rtl/>
        </w:rPr>
        <w:t xml:space="preserve">, בחודשים 12/2022-11/2022 שכרה הממוצע של המבקשת עמד על סך של כ- 5,100 ש"ח נטו בחודש (לאחר הפחתת ניכויי חובה וקופות גמל). </w:t>
      </w:r>
    </w:p>
    <w:p w:rsidR="008263FF" w:rsidRDefault="008263FF" w:rsidP="008263FF">
      <w:pPr>
        <w:pStyle w:val="ad"/>
        <w:spacing w:after="120" w:line="360" w:lineRule="auto"/>
        <w:ind w:left="567"/>
        <w:contextualSpacing w:val="0"/>
        <w:jc w:val="both"/>
        <w:rPr>
          <w:rFonts w:ascii="Arial" w:hAnsi="Arial"/>
          <w:noProof w:val="0"/>
          <w:highlight w:val="yellow"/>
          <w:rtl/>
        </w:rPr>
      </w:pPr>
      <w:r>
        <w:rPr>
          <w:rFonts w:ascii="Arial" w:hAnsi="Arial" w:hint="cs"/>
          <w:noProof w:val="0"/>
          <w:rtl/>
        </w:rPr>
        <w:t xml:space="preserve">עוד נקבע כי </w:t>
      </w:r>
      <w:r>
        <w:rPr>
          <w:rFonts w:ascii="Arial" w:hAnsi="Arial"/>
          <w:noProof w:val="0"/>
          <w:rtl/>
        </w:rPr>
        <w:t xml:space="preserve">המבקשת ילידת 1991, בת כ-32 שנים, לא הציגה תשתית ראיית כלשהי המבססת את העדר יכולתה לצאת ולהתפרנס, לכל הפחות בהתאם לשכר המינימום במשק.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rtl/>
        </w:rPr>
        <w:t xml:space="preserve">נוכח חלוקת זמני השהות, ולאור הכנסותיה בעבר ויכולתה להשתכר לכל הפחות בהתאם לשכר המינימום במשק, </w:t>
      </w:r>
      <w:r>
        <w:rPr>
          <w:rFonts w:ascii="Arial" w:hAnsi="Arial" w:hint="cs"/>
          <w:noProof w:val="0"/>
          <w:rtl/>
        </w:rPr>
        <w:t xml:space="preserve">העריך בית משפט קמא את </w:t>
      </w:r>
      <w:r>
        <w:rPr>
          <w:rFonts w:ascii="Arial" w:hAnsi="Arial"/>
          <w:noProof w:val="0"/>
          <w:rtl/>
        </w:rPr>
        <w:t xml:space="preserve">יכולת השתכרותה בסך 5,571.75 ש"ח נטו לחודש.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u w:val="single"/>
          <w:rtl/>
        </w:rPr>
        <w:t>מקורות ההכנסה של המבקשת</w:t>
      </w:r>
      <w:r>
        <w:rPr>
          <w:rFonts w:ascii="Arial" w:hAnsi="Arial"/>
          <w:noProof w:val="0"/>
          <w:rtl/>
        </w:rPr>
        <w:t xml:space="preserve"> – </w:t>
      </w:r>
      <w:r>
        <w:rPr>
          <w:rFonts w:ascii="Arial" w:hAnsi="Arial" w:hint="cs"/>
          <w:noProof w:val="0"/>
          <w:rtl/>
        </w:rPr>
        <w:t xml:space="preserve">נקבע כי </w:t>
      </w:r>
      <w:r>
        <w:rPr>
          <w:rFonts w:ascii="Arial" w:hAnsi="Arial"/>
          <w:noProof w:val="0"/>
          <w:rtl/>
        </w:rPr>
        <w:t xml:space="preserve">המבקשת מקבלת עבור בתה </w:t>
      </w:r>
      <w:r>
        <w:rPr>
          <w:rFonts w:ascii="Arial" w:hAnsi="Arial" w:hint="cs"/>
          <w:noProof w:val="0"/>
          <w:rtl/>
        </w:rPr>
        <w:t xml:space="preserve">(מנישואיה הראשונים) </w:t>
      </w:r>
      <w:r>
        <w:rPr>
          <w:rFonts w:ascii="Arial" w:hAnsi="Arial"/>
          <w:noProof w:val="0"/>
          <w:rtl/>
        </w:rPr>
        <w:t xml:space="preserve">קצבת שארים בסך 1,232 ש"ח לחודש וכן זכאית לתשלום קצבת ילדים מהמוסד לביטוח לאומי. </w:t>
      </w:r>
    </w:p>
    <w:p w:rsidR="008263FF" w:rsidRDefault="008263FF" w:rsidP="008263FF">
      <w:pPr>
        <w:pStyle w:val="ad"/>
        <w:spacing w:after="120" w:line="360" w:lineRule="auto"/>
        <w:ind w:left="567"/>
        <w:contextualSpacing w:val="0"/>
        <w:jc w:val="both"/>
        <w:rPr>
          <w:rFonts w:ascii="Arial" w:hAnsi="Arial"/>
          <w:b/>
          <w:bCs/>
          <w:noProof w:val="0"/>
        </w:rPr>
      </w:pPr>
      <w:r>
        <w:rPr>
          <w:rFonts w:ascii="Arial" w:hAnsi="Arial"/>
          <w:noProof w:val="0"/>
          <w:rtl/>
        </w:rPr>
        <w:t xml:space="preserve">בהתאם להסכם, על המשיב לשלם למבקשת סך של 1,700 ש"ח לחודש בגין דמי מזונות עבור הקטין.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hint="cs"/>
          <w:b/>
          <w:bCs/>
          <w:noProof w:val="0"/>
          <w:rtl/>
        </w:rPr>
        <w:t>בית משפט קמא העריך את</w:t>
      </w:r>
      <w:r>
        <w:rPr>
          <w:rFonts w:ascii="Arial" w:hAnsi="Arial"/>
          <w:b/>
          <w:bCs/>
          <w:noProof w:val="0"/>
          <w:rtl/>
        </w:rPr>
        <w:t xml:space="preserve"> סך הכנסותיה של המבקשת בשיעור 8,500 ש"ח נטו לחודש</w:t>
      </w:r>
      <w:r>
        <w:rPr>
          <w:rFonts w:ascii="Arial" w:hAnsi="Arial"/>
          <w:noProof w:val="0"/>
          <w:rtl/>
        </w:rPr>
        <w:t xml:space="preserve"> (הכולל סכומים שתפקידם למלא את צרכי הקטינים) ובתוספת קצבת הילדים.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u w:val="single"/>
          <w:rtl/>
        </w:rPr>
        <w:t xml:space="preserve">הכנסות נוספות ממקורות אחרים </w:t>
      </w:r>
      <w:r>
        <w:rPr>
          <w:rFonts w:ascii="Arial" w:hAnsi="Arial"/>
          <w:noProof w:val="0"/>
          <w:rtl/>
        </w:rPr>
        <w:t>– בבקשה לתיקון כתב התביעה למזונות</w:t>
      </w:r>
      <w:r>
        <w:rPr>
          <w:rFonts w:ascii="Arial" w:hAnsi="Arial" w:hint="cs"/>
          <w:noProof w:val="0"/>
          <w:rtl/>
        </w:rPr>
        <w:t xml:space="preserve">, </w:t>
      </w:r>
      <w:r>
        <w:rPr>
          <w:rFonts w:ascii="Arial" w:hAnsi="Arial"/>
          <w:noProof w:val="0"/>
          <w:rtl/>
        </w:rPr>
        <w:t>ובבקשה לפסיקת מזונות זמניים עבור הקטין</w:t>
      </w:r>
      <w:r>
        <w:rPr>
          <w:rFonts w:ascii="Arial" w:hAnsi="Arial" w:hint="cs"/>
          <w:noProof w:val="0"/>
          <w:rtl/>
        </w:rPr>
        <w:t xml:space="preserve">, </w:t>
      </w:r>
      <w:r>
        <w:rPr>
          <w:rFonts w:ascii="Arial" w:hAnsi="Arial" w:hint="cs"/>
          <w:b/>
          <w:bCs/>
          <w:noProof w:val="0"/>
          <w:rtl/>
        </w:rPr>
        <w:t>טענה</w:t>
      </w:r>
      <w:r>
        <w:rPr>
          <w:rFonts w:ascii="Arial" w:hAnsi="Arial"/>
          <w:b/>
          <w:bCs/>
          <w:noProof w:val="0"/>
          <w:rtl/>
        </w:rPr>
        <w:t xml:space="preserve"> המבקשת כי נטלה מהוריה הלוואה בסך של כ-250,000 </w:t>
      </w:r>
      <w:r>
        <w:rPr>
          <w:rFonts w:ascii="Arial" w:hAnsi="Arial" w:hint="cs"/>
          <w:b/>
          <w:bCs/>
          <w:noProof w:val="0"/>
          <w:rtl/>
        </w:rPr>
        <w:t>₪.</w:t>
      </w:r>
      <w:r>
        <w:rPr>
          <w:rFonts w:ascii="Arial" w:hAnsi="Arial"/>
          <w:noProof w:val="0"/>
          <w:rtl/>
        </w:rPr>
        <w:t xml:space="preserve"> לטענת המבקשת, הוריה מסייעים לה ומממנים את כל הוצאותיה, לרבות הוצאות משפט, שכ"ט עו"ד, הוצאות גן עבור הקטין, הוצאות דלק, מוצרי פארם, ביגוד והוצאות נוספות</w:t>
      </w:r>
      <w:r>
        <w:rPr>
          <w:rFonts w:ascii="Arial" w:hAnsi="Arial" w:hint="cs"/>
          <w:noProof w:val="0"/>
          <w:rtl/>
        </w:rPr>
        <w:t>.</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rtl/>
        </w:rPr>
        <w:t>לטענתה, הוריה נטלו הלוואות כדי לסייע לה, וההסכם עמם הוא שעליה לפרוע בעתיד את ההלוואה</w:t>
      </w:r>
      <w:r>
        <w:rPr>
          <w:rFonts w:ascii="Arial" w:hAnsi="Arial" w:hint="cs"/>
          <w:noProof w:val="0"/>
          <w:rtl/>
        </w:rPr>
        <w:t xml:space="preserve">, וכי </w:t>
      </w:r>
      <w:r>
        <w:rPr>
          <w:rFonts w:ascii="Arial" w:hAnsi="Arial"/>
          <w:noProof w:val="0"/>
          <w:rtl/>
        </w:rPr>
        <w:t>עליה להשיב להוריה את הסכומים ששילמו עבורה בגין כל הוצאותיה</w:t>
      </w:r>
      <w:r>
        <w:rPr>
          <w:rFonts w:ascii="Arial" w:hAnsi="Arial" w:hint="cs"/>
          <w:noProof w:val="0"/>
          <w:rtl/>
        </w:rPr>
        <w:t>.</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hint="cs"/>
          <w:noProof w:val="0"/>
          <w:rtl/>
        </w:rPr>
        <w:t xml:space="preserve">בהחלטה קמא נקבע כי </w:t>
      </w:r>
      <w:r>
        <w:rPr>
          <w:rFonts w:ascii="Arial" w:hAnsi="Arial"/>
          <w:noProof w:val="0"/>
          <w:rtl/>
        </w:rPr>
        <w:t xml:space="preserve">המבקשת לא צרפה אסמכתא לטענה בדבר הסכם עם הוריה או לעניין הסכום הנטען שקיבלה מהוריה בהלוואה.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hint="cs"/>
          <w:noProof w:val="0"/>
          <w:rtl/>
        </w:rPr>
        <w:t xml:space="preserve">עוד נקבע, כי </w:t>
      </w:r>
      <w:r>
        <w:rPr>
          <w:rFonts w:ascii="Arial" w:hAnsi="Arial"/>
          <w:noProof w:val="0"/>
          <w:rtl/>
        </w:rPr>
        <w:t>לאור טענות המשיב, בשלב זה לא ברור האם הסכום הנטען הוא הלוואה כטענת המבקשת.</w:t>
      </w:r>
    </w:p>
    <w:p w:rsidR="009C130C" w:rsidRDefault="009C130C" w:rsidP="008263FF">
      <w:pPr>
        <w:pStyle w:val="ad"/>
        <w:spacing w:after="120" w:line="360" w:lineRule="auto"/>
        <w:ind w:left="567"/>
        <w:contextualSpacing w:val="0"/>
        <w:jc w:val="both"/>
        <w:rPr>
          <w:rFonts w:ascii="Arial" w:hAnsi="Arial"/>
          <w:noProof w:val="0"/>
          <w:rtl/>
        </w:rPr>
      </w:pPr>
    </w:p>
    <w:p w:rsidR="009C130C" w:rsidRDefault="009C130C" w:rsidP="008263FF">
      <w:pPr>
        <w:pStyle w:val="ad"/>
        <w:spacing w:after="120" w:line="360" w:lineRule="auto"/>
        <w:ind w:left="567"/>
        <w:contextualSpacing w:val="0"/>
        <w:jc w:val="both"/>
        <w:rPr>
          <w:rFonts w:ascii="Arial" w:hAnsi="Arial"/>
          <w:noProof w:val="0"/>
          <w:rtl/>
        </w:rPr>
      </w:pPr>
    </w:p>
    <w:p w:rsidR="008263FF" w:rsidRPr="00770B35" w:rsidRDefault="008263FF" w:rsidP="008263FF">
      <w:pPr>
        <w:pStyle w:val="ad"/>
        <w:spacing w:after="120" w:line="360" w:lineRule="auto"/>
        <w:ind w:left="567" w:hanging="567"/>
        <w:contextualSpacing w:val="0"/>
        <w:jc w:val="both"/>
        <w:rPr>
          <w:rFonts w:ascii="Arial" w:hAnsi="Arial"/>
          <w:noProof w:val="0"/>
          <w:rtl/>
        </w:rPr>
      </w:pPr>
      <w:r w:rsidRPr="00770B35">
        <w:rPr>
          <w:rFonts w:ascii="Arial" w:hAnsi="Arial" w:hint="cs"/>
          <w:noProof w:val="0"/>
          <w:rtl/>
        </w:rPr>
        <w:lastRenderedPageBreak/>
        <w:t>14.</w:t>
      </w:r>
      <w:r w:rsidRPr="00770B35">
        <w:rPr>
          <w:rFonts w:ascii="Arial" w:hAnsi="Arial" w:hint="cs"/>
          <w:noProof w:val="0"/>
          <w:rtl/>
        </w:rPr>
        <w:tab/>
      </w:r>
      <w:r w:rsidRPr="00A60D45">
        <w:rPr>
          <w:rFonts w:ascii="Arial" w:hAnsi="Arial" w:hint="cs"/>
          <w:b/>
          <w:bCs/>
          <w:noProof w:val="0"/>
          <w:u w:val="single"/>
          <w:rtl/>
        </w:rPr>
        <w:t>קביעות</w:t>
      </w:r>
      <w:r w:rsidRPr="00A60D45">
        <w:rPr>
          <w:rFonts w:ascii="Arial" w:hAnsi="Arial" w:hint="cs"/>
          <w:noProof w:val="0"/>
          <w:u w:val="single"/>
          <w:rtl/>
        </w:rPr>
        <w:t xml:space="preserve"> </w:t>
      </w:r>
      <w:r w:rsidRPr="00A60D45">
        <w:rPr>
          <w:rFonts w:ascii="Arial" w:hAnsi="Arial" w:hint="cs"/>
          <w:b/>
          <w:bCs/>
          <w:noProof w:val="0"/>
          <w:u w:val="single"/>
          <w:rtl/>
        </w:rPr>
        <w:t>בכל הקשור ל</w:t>
      </w:r>
      <w:r w:rsidRPr="00A60D45">
        <w:rPr>
          <w:rFonts w:ascii="Arial" w:hAnsi="Arial"/>
          <w:b/>
          <w:bCs/>
          <w:noProof w:val="0"/>
          <w:u w:val="single"/>
          <w:rtl/>
        </w:rPr>
        <w:t>הוצאותיה של המבקשת</w:t>
      </w:r>
      <w:r w:rsidRPr="00770B35">
        <w:rPr>
          <w:rFonts w:ascii="Arial" w:hAnsi="Arial"/>
          <w:b/>
          <w:bCs/>
          <w:noProof w:val="0"/>
          <w:rtl/>
        </w:rPr>
        <w:t xml:space="preserve"> </w:t>
      </w:r>
      <w:r>
        <w:rPr>
          <w:rFonts w:ascii="Arial" w:hAnsi="Arial"/>
          <w:b/>
          <w:bCs/>
          <w:noProof w:val="0"/>
          <w:rtl/>
        </w:rPr>
        <w:t>–</w:t>
      </w:r>
      <w:r>
        <w:rPr>
          <w:rFonts w:ascii="Arial" w:hAnsi="Arial" w:hint="cs"/>
          <w:noProof w:val="0"/>
          <w:rtl/>
        </w:rPr>
        <w:t xml:space="preserve">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u w:val="single"/>
          <w:rtl/>
        </w:rPr>
        <w:t xml:space="preserve">חובות </w:t>
      </w:r>
      <w:r w:rsidRPr="00770B35">
        <w:rPr>
          <w:rFonts w:ascii="Arial" w:hAnsi="Arial"/>
          <w:noProof w:val="0"/>
          <w:u w:val="single"/>
          <w:rtl/>
        </w:rPr>
        <w:t>של המבקשת</w:t>
      </w:r>
      <w:r w:rsidRPr="00770B35">
        <w:rPr>
          <w:rFonts w:ascii="Arial" w:hAnsi="Arial"/>
          <w:noProof w:val="0"/>
          <w:rtl/>
        </w:rPr>
        <w:t xml:space="preserve"> – לטענת המבקשת, סך חובותיה </w:t>
      </w:r>
      <w:r>
        <w:rPr>
          <w:rFonts w:ascii="Arial" w:hAnsi="Arial" w:hint="cs"/>
          <w:noProof w:val="0"/>
          <w:rtl/>
        </w:rPr>
        <w:t xml:space="preserve">הינו </w:t>
      </w:r>
      <w:r w:rsidRPr="00770B35">
        <w:rPr>
          <w:rFonts w:ascii="Arial" w:hAnsi="Arial"/>
          <w:noProof w:val="0"/>
          <w:rtl/>
        </w:rPr>
        <w:t>בשיעור של 102,788 ש"ח אשר אינו כולל את הריביות שיצטברו עד למועד התשלום בפועל. לטענתה, סכום החזר ההלוואות בסך 1,825 ש"ח בחודש</w:t>
      </w:r>
      <w:r w:rsidRPr="00770B35">
        <w:rPr>
          <w:rFonts w:ascii="Arial" w:hAnsi="Arial" w:hint="cs"/>
          <w:noProof w:val="0"/>
          <w:rtl/>
        </w:rPr>
        <w:t>;</w:t>
      </w:r>
      <w:r w:rsidRPr="00770B35">
        <w:rPr>
          <w:rFonts w:ascii="Arial" w:hAnsi="Arial"/>
          <w:noProof w:val="0"/>
          <w:rtl/>
        </w:rPr>
        <w:t xml:space="preserve"> </w:t>
      </w:r>
      <w:r>
        <w:rPr>
          <w:rFonts w:ascii="Arial" w:hAnsi="Arial"/>
          <w:noProof w:val="0"/>
          <w:rtl/>
        </w:rPr>
        <w:t xml:space="preserve">המבקשת לא פרטה את אופן ושיעור החזר ההלוואה הנטענת מהוריה. </w:t>
      </w:r>
    </w:p>
    <w:p w:rsidR="008263FF" w:rsidRDefault="008263FF" w:rsidP="008263FF">
      <w:pPr>
        <w:pStyle w:val="ad"/>
        <w:spacing w:after="120" w:line="360" w:lineRule="auto"/>
        <w:ind w:left="567"/>
        <w:contextualSpacing w:val="0"/>
        <w:jc w:val="both"/>
        <w:rPr>
          <w:rFonts w:ascii="Arial" w:hAnsi="Arial"/>
          <w:noProof w:val="0"/>
          <w:rtl/>
        </w:rPr>
      </w:pPr>
      <w:r w:rsidRPr="00770B35">
        <w:rPr>
          <w:rFonts w:ascii="Arial" w:hAnsi="Arial"/>
          <w:noProof w:val="0"/>
          <w:u w:val="single"/>
          <w:rtl/>
        </w:rPr>
        <w:t>הוצ</w:t>
      </w:r>
      <w:r>
        <w:rPr>
          <w:rFonts w:ascii="Arial" w:hAnsi="Arial"/>
          <w:noProof w:val="0"/>
          <w:u w:val="single"/>
          <w:rtl/>
        </w:rPr>
        <w:t xml:space="preserve">אותיה השוטפות של המבקשת </w:t>
      </w:r>
      <w:r>
        <w:rPr>
          <w:rFonts w:ascii="Arial" w:hAnsi="Arial"/>
          <w:noProof w:val="0"/>
          <w:rtl/>
        </w:rPr>
        <w:t>– המבקשת צרפה פירוט של הוצאות דלק בסך 2,105.74 ש"ח לחודש. לטענתה, הוצאותיו של הקטין בגין צרכים תלויי שהות הן בסך 2,650 ש"ח בחודש</w:t>
      </w:r>
      <w:r>
        <w:rPr>
          <w:rFonts w:ascii="Arial" w:hAnsi="Arial" w:hint="cs"/>
          <w:noProof w:val="0"/>
          <w:rtl/>
        </w:rPr>
        <w:t>.</w:t>
      </w:r>
    </w:p>
    <w:p w:rsidR="008263FF" w:rsidRDefault="008263FF" w:rsidP="008263FF">
      <w:pPr>
        <w:pStyle w:val="ad"/>
        <w:spacing w:after="120" w:line="360" w:lineRule="auto"/>
        <w:ind w:left="567"/>
        <w:contextualSpacing w:val="0"/>
        <w:jc w:val="both"/>
        <w:rPr>
          <w:rFonts w:ascii="Arial" w:hAnsi="Arial"/>
          <w:noProof w:val="0"/>
          <w:rtl/>
        </w:rPr>
      </w:pPr>
      <w:r w:rsidRPr="00770B35">
        <w:rPr>
          <w:rFonts w:ascii="Arial" w:hAnsi="Arial" w:hint="cs"/>
          <w:noProof w:val="0"/>
          <w:rtl/>
        </w:rPr>
        <w:t xml:space="preserve">בהחלטה קמא נקבע כי </w:t>
      </w:r>
      <w:r w:rsidRPr="00770B35">
        <w:rPr>
          <w:rFonts w:ascii="Arial" w:hAnsi="Arial"/>
          <w:noProof w:val="0"/>
          <w:rtl/>
        </w:rPr>
        <w:t xml:space="preserve">נראה </w:t>
      </w:r>
      <w:r w:rsidRPr="00770B35">
        <w:rPr>
          <w:rFonts w:ascii="Arial" w:hAnsi="Arial" w:hint="cs"/>
          <w:noProof w:val="0"/>
          <w:rtl/>
        </w:rPr>
        <w:t>ש</w:t>
      </w:r>
      <w:r w:rsidRPr="00770B35">
        <w:rPr>
          <w:rFonts w:ascii="Arial" w:hAnsi="Arial"/>
          <w:noProof w:val="0"/>
          <w:rtl/>
        </w:rPr>
        <w:t>ההוצאות הנטענות עבור הקטין כיום (2,650 ש"ח  לחודש, לא</w:t>
      </w:r>
      <w:r>
        <w:rPr>
          <w:rFonts w:ascii="Arial" w:hAnsi="Arial"/>
          <w:noProof w:val="0"/>
          <w:rtl/>
        </w:rPr>
        <w:t xml:space="preserve"> כולל מדור ואחזקתו) חורגות מהסכומים בהם נשאו הצדדים במשותף בעבר. </w:t>
      </w:r>
    </w:p>
    <w:p w:rsidR="008263FF" w:rsidRDefault="008263FF" w:rsidP="008263FF">
      <w:pPr>
        <w:pStyle w:val="ad"/>
        <w:spacing w:after="120" w:line="360" w:lineRule="auto"/>
        <w:ind w:left="567" w:hanging="567"/>
        <w:contextualSpacing w:val="0"/>
        <w:jc w:val="both"/>
        <w:rPr>
          <w:rFonts w:ascii="Arial" w:hAnsi="Arial"/>
          <w:noProof w:val="0"/>
          <w:rtl/>
        </w:rPr>
      </w:pPr>
      <w:r>
        <w:rPr>
          <w:rFonts w:ascii="Arial" w:hAnsi="Arial" w:hint="cs"/>
          <w:noProof w:val="0"/>
          <w:rtl/>
        </w:rPr>
        <w:t>15.</w:t>
      </w:r>
      <w:r>
        <w:rPr>
          <w:rFonts w:ascii="Arial" w:hAnsi="Arial"/>
          <w:noProof w:val="0"/>
          <w:rtl/>
        </w:rPr>
        <w:tab/>
      </w:r>
      <w:r>
        <w:rPr>
          <w:rFonts w:ascii="Arial" w:hAnsi="Arial" w:hint="cs"/>
          <w:noProof w:val="0"/>
          <w:rtl/>
        </w:rPr>
        <w:t>בשקלול הנתונים, קבע בית משפט קמא לגבי</w:t>
      </w:r>
      <w:r>
        <w:rPr>
          <w:rFonts w:ascii="Arial" w:hAnsi="Arial"/>
          <w:noProof w:val="0"/>
          <w:rtl/>
        </w:rPr>
        <w:t xml:space="preserve"> יכולתה הכלכלית של המבקשת, אף ללא ההלוואה הנטענת בסך 250,000 ש"ח מהורי</w:t>
      </w:r>
      <w:r>
        <w:rPr>
          <w:rFonts w:ascii="Arial" w:hAnsi="Arial" w:hint="cs"/>
          <w:noProof w:val="0"/>
          <w:rtl/>
        </w:rPr>
        <w:t xml:space="preserve"> </w:t>
      </w:r>
      <w:r>
        <w:rPr>
          <w:rFonts w:ascii="Arial" w:hAnsi="Arial"/>
          <w:noProof w:val="0"/>
          <w:rtl/>
        </w:rPr>
        <w:t>המבקשת למבקשת</w:t>
      </w:r>
      <w:r>
        <w:rPr>
          <w:rFonts w:ascii="Arial" w:hAnsi="Arial" w:hint="cs"/>
          <w:noProof w:val="0"/>
          <w:rtl/>
        </w:rPr>
        <w:t xml:space="preserve"> (</w:t>
      </w:r>
      <w:r>
        <w:rPr>
          <w:rFonts w:ascii="Arial" w:hAnsi="Arial"/>
          <w:noProof w:val="0"/>
          <w:rtl/>
        </w:rPr>
        <w:t xml:space="preserve">לגביה </w:t>
      </w:r>
      <w:r>
        <w:rPr>
          <w:rFonts w:ascii="Arial" w:hAnsi="Arial" w:hint="cs"/>
          <w:noProof w:val="0"/>
          <w:rtl/>
        </w:rPr>
        <w:t xml:space="preserve">נקבע כי </w:t>
      </w:r>
      <w:r>
        <w:rPr>
          <w:rFonts w:ascii="Arial" w:hAnsi="Arial"/>
          <w:noProof w:val="0"/>
          <w:rtl/>
        </w:rPr>
        <w:t>נדרש בירור נוסף</w:t>
      </w:r>
      <w:r>
        <w:rPr>
          <w:rFonts w:ascii="Arial" w:hAnsi="Arial" w:hint="cs"/>
          <w:noProof w:val="0"/>
          <w:rtl/>
        </w:rPr>
        <w:t>),</w:t>
      </w:r>
      <w:r>
        <w:rPr>
          <w:rFonts w:ascii="Arial" w:hAnsi="Arial"/>
          <w:noProof w:val="0"/>
          <w:rtl/>
        </w:rPr>
        <w:t xml:space="preserve"> </w:t>
      </w:r>
      <w:r>
        <w:rPr>
          <w:rFonts w:ascii="David" w:eastAsia="Calibri" w:hAnsi="David"/>
          <w:b/>
          <w:bCs/>
          <w:noProof w:val="0"/>
          <w:rtl/>
        </w:rPr>
        <w:t>כי יש ביכולת</w:t>
      </w:r>
      <w:r>
        <w:rPr>
          <w:rFonts w:ascii="David" w:eastAsia="Calibri" w:hAnsi="David" w:hint="cs"/>
          <w:b/>
          <w:bCs/>
          <w:noProof w:val="0"/>
          <w:rtl/>
        </w:rPr>
        <w:t xml:space="preserve"> המבקשת</w:t>
      </w:r>
      <w:r>
        <w:rPr>
          <w:rFonts w:ascii="David" w:eastAsia="Calibri" w:hAnsi="David"/>
          <w:b/>
          <w:bCs/>
          <w:noProof w:val="0"/>
          <w:rtl/>
        </w:rPr>
        <w:t xml:space="preserve"> לשכור דירה מ</w:t>
      </w:r>
      <w:r w:rsidR="00984371">
        <w:rPr>
          <w:rFonts w:ascii="David" w:eastAsia="Calibri" w:hAnsi="David"/>
          <w:b/>
          <w:bCs/>
          <w:noProof w:val="0"/>
          <w:rtl/>
        </w:rPr>
        <w:t>תאימה עבור מגוריה עם הקטין ב</w:t>
      </w:r>
      <w:r w:rsidR="00984371">
        <w:rPr>
          <w:rFonts w:ascii="David" w:eastAsia="Calibri" w:hAnsi="David" w:hint="cs"/>
          <w:b/>
          <w:bCs/>
          <w:noProof w:val="0"/>
          <w:rtl/>
        </w:rPr>
        <w:t>-</w:t>
      </w:r>
      <w:r w:rsidR="00984371">
        <w:rPr>
          <w:rFonts w:ascii="David" w:eastAsia="Calibri" w:hAnsi="David" w:hint="cs"/>
          <w:b/>
          <w:bCs/>
          <w:noProof w:val="0"/>
        </w:rPr>
        <w:t>X</w:t>
      </w:r>
      <w:r>
        <w:rPr>
          <w:rFonts w:ascii="David" w:eastAsia="Calibri" w:hAnsi="David"/>
          <w:b/>
          <w:bCs/>
          <w:noProof w:val="0"/>
          <w:rtl/>
        </w:rPr>
        <w:t>, וכן לכלכל את הקטין ואותה בכבוד, בכפוף לתשלום המזונות להם התחייב המשיב, וללא אותה עזרה המתקבלת מהוריה במגוריה אצלם</w:t>
      </w:r>
      <w:r>
        <w:rPr>
          <w:rFonts w:ascii="Arial" w:hAnsi="Arial"/>
          <w:noProof w:val="0"/>
          <w:rtl/>
        </w:rPr>
        <w:t xml:space="preserve">. </w:t>
      </w:r>
    </w:p>
    <w:p w:rsidR="008263FF" w:rsidRDefault="008263FF" w:rsidP="008263FF">
      <w:pPr>
        <w:pStyle w:val="ad"/>
        <w:spacing w:after="120" w:line="360" w:lineRule="auto"/>
        <w:ind w:left="567" w:hanging="567"/>
        <w:contextualSpacing w:val="0"/>
        <w:jc w:val="both"/>
        <w:rPr>
          <w:rFonts w:ascii="Arial" w:hAnsi="Arial"/>
          <w:noProof w:val="0"/>
          <w:rtl/>
        </w:rPr>
      </w:pPr>
      <w:r w:rsidRPr="00A60D45">
        <w:rPr>
          <w:rFonts w:ascii="Arial" w:hAnsi="Arial" w:hint="cs"/>
          <w:noProof w:val="0"/>
          <w:rtl/>
        </w:rPr>
        <w:t>16.</w:t>
      </w:r>
      <w:r w:rsidRPr="00A60D45">
        <w:rPr>
          <w:rFonts w:ascii="Arial" w:hAnsi="Arial"/>
          <w:noProof w:val="0"/>
          <w:rtl/>
        </w:rPr>
        <w:tab/>
      </w:r>
      <w:r w:rsidRPr="00A60D45">
        <w:rPr>
          <w:rFonts w:ascii="Arial" w:hAnsi="Arial" w:hint="cs"/>
          <w:noProof w:val="0"/>
          <w:rtl/>
        </w:rPr>
        <w:t>בית משפט קמא</w:t>
      </w:r>
      <w:r w:rsidRPr="00A60D45">
        <w:rPr>
          <w:rFonts w:ascii="Arial" w:hAnsi="Arial"/>
          <w:noProof w:val="0"/>
          <w:rtl/>
        </w:rPr>
        <w:t xml:space="preserve"> העריך את הכנסותיה של המבקשת בסך 8,500 </w:t>
      </w:r>
      <w:r w:rsidRPr="00A60D45">
        <w:rPr>
          <w:rFonts w:ascii="Arial" w:hAnsi="Arial" w:hint="cs"/>
          <w:noProof w:val="0"/>
          <w:rtl/>
        </w:rPr>
        <w:t>₪</w:t>
      </w:r>
      <w:r w:rsidRPr="00A60D45">
        <w:rPr>
          <w:rFonts w:ascii="Arial" w:hAnsi="Arial"/>
          <w:noProof w:val="0"/>
          <w:rtl/>
        </w:rPr>
        <w:t xml:space="preserve"> בחודש (הכוללים דמי מזונות</w:t>
      </w:r>
      <w:r>
        <w:rPr>
          <w:rFonts w:ascii="Arial" w:hAnsi="Arial"/>
          <w:noProof w:val="0"/>
          <w:rtl/>
        </w:rPr>
        <w:t xml:space="preserve"> עבור הקטין, קצבת שארים עבור הקטינה ושכר עבודה בתעריף מינימום במשק, ולא כוללים קצבת ילדים מהמוסד לביטוח לאומי והכנסה בגין הלוואה נטענת מהוריה של המבקשת), ואת הוצאותיה בסך של כ-3,525 ש"ח (הוצאות דלק בסך מוערך של 1,700 ש"ח בחודש והחזר הלוואות בסך של 1,825 ש"ח בחודש), כך שהכנסתה הפנויה בסך 4,975 ש"ח (ללא הוצאות מדור ואחזקתו).  </w:t>
      </w:r>
    </w:p>
    <w:p w:rsidR="008263FF" w:rsidRDefault="008263FF" w:rsidP="008263FF">
      <w:pPr>
        <w:pStyle w:val="ad"/>
        <w:spacing w:after="120" w:line="360" w:lineRule="auto"/>
        <w:ind w:left="567"/>
        <w:contextualSpacing w:val="0"/>
        <w:jc w:val="both"/>
        <w:rPr>
          <w:rFonts w:ascii="Arial" w:hAnsi="Arial"/>
          <w:noProof w:val="0"/>
          <w:rtl/>
        </w:rPr>
      </w:pPr>
      <w:r w:rsidRPr="00183D8A">
        <w:rPr>
          <w:rFonts w:ascii="Arial" w:hAnsi="Arial" w:hint="cs"/>
          <w:b/>
          <w:bCs/>
          <w:noProof w:val="0"/>
          <w:rtl/>
        </w:rPr>
        <w:t>במסגרת ההחלטה קמא נקבע, כי</w:t>
      </w:r>
      <w:r w:rsidRPr="00183D8A">
        <w:rPr>
          <w:rFonts w:ascii="Arial" w:hAnsi="Arial"/>
          <w:b/>
          <w:bCs/>
          <w:noProof w:val="0"/>
          <w:rtl/>
        </w:rPr>
        <w:t xml:space="preserve"> במצב הקיים שבו המבקשת אינה עובדת</w:t>
      </w:r>
      <w:r w:rsidRPr="00183D8A">
        <w:rPr>
          <w:rFonts w:ascii="Arial" w:hAnsi="Arial" w:hint="cs"/>
          <w:b/>
          <w:bCs/>
          <w:noProof w:val="0"/>
          <w:rtl/>
        </w:rPr>
        <w:t>,</w:t>
      </w:r>
      <w:r w:rsidRPr="00183D8A">
        <w:rPr>
          <w:rFonts w:ascii="Arial" w:hAnsi="Arial"/>
          <w:b/>
          <w:bCs/>
          <w:noProof w:val="0"/>
          <w:rtl/>
        </w:rPr>
        <w:t xml:space="preserve"> ונוכח חלוקת זמני השהות הקיימת ונטל ההסעות, אשר יש בהם כדי להשפיע על יכול</w:t>
      </w:r>
      <w:r w:rsidRPr="00183D8A">
        <w:rPr>
          <w:rFonts w:ascii="Arial" w:hAnsi="Arial" w:hint="cs"/>
          <w:b/>
          <w:bCs/>
          <w:noProof w:val="0"/>
          <w:rtl/>
        </w:rPr>
        <w:t>ת</w:t>
      </w:r>
      <w:r w:rsidRPr="00183D8A">
        <w:rPr>
          <w:rFonts w:ascii="Arial" w:hAnsi="Arial"/>
          <w:b/>
          <w:bCs/>
          <w:noProof w:val="0"/>
          <w:rtl/>
        </w:rPr>
        <w:t xml:space="preserve">ה של המבקשת להתפרנס, </w:t>
      </w:r>
      <w:r w:rsidRPr="007E7894">
        <w:rPr>
          <w:rFonts w:ascii="Arial" w:hAnsi="Arial"/>
          <w:b/>
          <w:bCs/>
          <w:noProof w:val="0"/>
          <w:rtl/>
        </w:rPr>
        <w:t>אין מקום לשנות מהחלטת</w:t>
      </w:r>
      <w:r w:rsidRPr="007E7894">
        <w:rPr>
          <w:rFonts w:ascii="Arial" w:hAnsi="Arial" w:hint="cs"/>
          <w:b/>
          <w:bCs/>
          <w:noProof w:val="0"/>
          <w:rtl/>
        </w:rPr>
        <w:t xml:space="preserve"> בית משפט קמא, </w:t>
      </w:r>
      <w:r w:rsidRPr="007E7894">
        <w:rPr>
          <w:rFonts w:ascii="Arial" w:hAnsi="Arial"/>
          <w:b/>
          <w:bCs/>
          <w:noProof w:val="0"/>
          <w:rtl/>
        </w:rPr>
        <w:t>בעניין</w:t>
      </w:r>
      <w:r w:rsidR="00DB7064">
        <w:rPr>
          <w:rFonts w:ascii="Arial" w:hAnsi="Arial"/>
          <w:b/>
          <w:bCs/>
          <w:noProof w:val="0"/>
          <w:rtl/>
        </w:rPr>
        <w:t xml:space="preserve"> מעבר מקום המגורים ל</w:t>
      </w:r>
      <w:r w:rsidR="00DB7064">
        <w:rPr>
          <w:rFonts w:ascii="Arial" w:hAnsi="Arial" w:hint="cs"/>
          <w:b/>
          <w:bCs/>
          <w:noProof w:val="0"/>
          <w:rtl/>
        </w:rPr>
        <w:t>-</w:t>
      </w:r>
      <w:r w:rsidR="00DB7064">
        <w:rPr>
          <w:rFonts w:ascii="Arial" w:hAnsi="Arial" w:hint="cs"/>
          <w:b/>
          <w:bCs/>
          <w:noProof w:val="0"/>
        </w:rPr>
        <w:t>X</w:t>
      </w:r>
      <w:r>
        <w:rPr>
          <w:rFonts w:ascii="Arial" w:hAnsi="Arial" w:hint="cs"/>
          <w:noProof w:val="0"/>
          <w:rtl/>
        </w:rPr>
        <w:t>.</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hint="cs"/>
          <w:noProof w:val="0"/>
          <w:rtl/>
        </w:rPr>
        <w:t xml:space="preserve">נקבע כי </w:t>
      </w:r>
      <w:r>
        <w:rPr>
          <w:rFonts w:ascii="Arial" w:hAnsi="Arial"/>
          <w:noProof w:val="0"/>
          <w:rtl/>
        </w:rPr>
        <w:t>יש להשהות מעבר זה לתקופה זמנית של שלושה חודשים עד להתייצבות המבקשת מבחינה כלכלית באופן עצמאי ובכדי לאפשר את ההיערכות הנדרשת למעבר (מציאת עבודה, מציאת דירה, רישום למסגרות היערכות כלכלית ותכנון נדרש)</w:t>
      </w:r>
      <w:r>
        <w:rPr>
          <w:rFonts w:ascii="Arial" w:hAnsi="Arial" w:hint="cs"/>
          <w:noProof w:val="0"/>
          <w:rtl/>
        </w:rPr>
        <w:t xml:space="preserve"> (סע' 31 להחלטה קמא)</w:t>
      </w:r>
      <w:r>
        <w:rPr>
          <w:rFonts w:ascii="Arial" w:hAnsi="Arial"/>
          <w:noProof w:val="0"/>
          <w:rtl/>
        </w:rPr>
        <w:t>.</w:t>
      </w:r>
    </w:p>
    <w:p w:rsidR="008263FF" w:rsidRDefault="008263FF" w:rsidP="008263FF">
      <w:pPr>
        <w:pStyle w:val="ad"/>
        <w:spacing w:after="120" w:line="360" w:lineRule="auto"/>
        <w:ind w:left="567" w:hanging="567"/>
        <w:contextualSpacing w:val="0"/>
        <w:jc w:val="both"/>
        <w:rPr>
          <w:rFonts w:ascii="Arial" w:hAnsi="Arial"/>
          <w:noProof w:val="0"/>
          <w:rtl/>
        </w:rPr>
      </w:pPr>
      <w:r>
        <w:rPr>
          <w:rFonts w:ascii="Arial" w:hAnsi="Arial" w:hint="cs"/>
          <w:noProof w:val="0"/>
          <w:rtl/>
        </w:rPr>
        <w:t>17.</w:t>
      </w:r>
      <w:r>
        <w:rPr>
          <w:rFonts w:ascii="Arial" w:hAnsi="Arial" w:hint="cs"/>
          <w:noProof w:val="0"/>
          <w:rtl/>
        </w:rPr>
        <w:tab/>
      </w:r>
      <w:r w:rsidRPr="00C966AF">
        <w:rPr>
          <w:rFonts w:ascii="Arial" w:hAnsi="Arial"/>
          <w:noProof w:val="0"/>
          <w:u w:val="single"/>
          <w:rtl/>
        </w:rPr>
        <w:t>במסגרת השיקולים שנשקלו</w:t>
      </w:r>
      <w:r w:rsidRPr="00C966AF">
        <w:rPr>
          <w:rFonts w:ascii="Arial" w:hAnsi="Arial" w:hint="cs"/>
          <w:noProof w:val="0"/>
          <w:u w:val="single"/>
          <w:rtl/>
        </w:rPr>
        <w:t xml:space="preserve"> בהחלטה קמא</w:t>
      </w:r>
      <w:r w:rsidRPr="00C966AF">
        <w:rPr>
          <w:rFonts w:ascii="Arial" w:hAnsi="Arial"/>
          <w:noProof w:val="0"/>
          <w:u w:val="single"/>
          <w:rtl/>
        </w:rPr>
        <w:t xml:space="preserve">, </w:t>
      </w:r>
      <w:r w:rsidRPr="00C966AF">
        <w:rPr>
          <w:rFonts w:ascii="Arial" w:hAnsi="Arial" w:hint="cs"/>
          <w:noProof w:val="0"/>
          <w:u w:val="single"/>
          <w:rtl/>
        </w:rPr>
        <w:t xml:space="preserve">נכללו אף </w:t>
      </w:r>
      <w:r w:rsidRPr="00C966AF">
        <w:rPr>
          <w:rFonts w:ascii="Arial" w:hAnsi="Arial"/>
          <w:noProof w:val="0"/>
          <w:u w:val="single"/>
          <w:rtl/>
        </w:rPr>
        <w:t>הכנסותיו והוצאותיו של המשיב</w:t>
      </w:r>
      <w:r>
        <w:rPr>
          <w:rFonts w:ascii="Arial" w:hAnsi="Arial"/>
          <w:noProof w:val="0"/>
          <w:rtl/>
        </w:rPr>
        <w:t xml:space="preserve">: </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rtl/>
        </w:rPr>
        <w:t xml:space="preserve">יכולת השתכרותו של המשיב </w:t>
      </w:r>
      <w:r>
        <w:rPr>
          <w:rFonts w:ascii="Arial" w:hAnsi="Arial" w:hint="cs"/>
          <w:noProof w:val="0"/>
          <w:rtl/>
        </w:rPr>
        <w:t xml:space="preserve">הועמדה </w:t>
      </w:r>
      <w:r>
        <w:rPr>
          <w:rFonts w:ascii="Arial" w:hAnsi="Arial"/>
          <w:noProof w:val="0"/>
          <w:rtl/>
        </w:rPr>
        <w:t xml:space="preserve">על סך 12,000 </w:t>
      </w:r>
      <w:r>
        <w:rPr>
          <w:rFonts w:ascii="Arial" w:hAnsi="Arial" w:hint="cs"/>
          <w:noProof w:val="0"/>
          <w:rtl/>
        </w:rPr>
        <w:t>₪</w:t>
      </w:r>
      <w:r>
        <w:rPr>
          <w:rFonts w:ascii="Arial" w:hAnsi="Arial"/>
          <w:noProof w:val="0"/>
          <w:rtl/>
        </w:rPr>
        <w:t xml:space="preserve"> נטו לחודש</w:t>
      </w:r>
      <w:r>
        <w:rPr>
          <w:rFonts w:ascii="Arial" w:hAnsi="Arial" w:hint="cs"/>
          <w:noProof w:val="0"/>
          <w:rtl/>
        </w:rPr>
        <w:t>;</w:t>
      </w:r>
    </w:p>
    <w:p w:rsidR="008263FF" w:rsidRDefault="008263FF" w:rsidP="008263FF">
      <w:pPr>
        <w:pStyle w:val="ad"/>
        <w:spacing w:after="120" w:line="360" w:lineRule="auto"/>
        <w:ind w:left="567"/>
        <w:contextualSpacing w:val="0"/>
        <w:jc w:val="both"/>
        <w:rPr>
          <w:rFonts w:ascii="Arial" w:hAnsi="Arial"/>
          <w:noProof w:val="0"/>
          <w:rtl/>
        </w:rPr>
      </w:pPr>
      <w:r>
        <w:rPr>
          <w:rFonts w:ascii="Arial" w:hAnsi="Arial"/>
          <w:noProof w:val="0"/>
          <w:rtl/>
        </w:rPr>
        <w:t xml:space="preserve">הכנסתו הפנויה של המשיב </w:t>
      </w:r>
      <w:r>
        <w:rPr>
          <w:rFonts w:ascii="Arial" w:hAnsi="Arial" w:hint="cs"/>
          <w:noProof w:val="0"/>
          <w:rtl/>
        </w:rPr>
        <w:t xml:space="preserve">הוערכה </w:t>
      </w:r>
      <w:r>
        <w:rPr>
          <w:rFonts w:ascii="Arial" w:hAnsi="Arial"/>
          <w:noProof w:val="0"/>
          <w:rtl/>
        </w:rPr>
        <w:t xml:space="preserve">בסך 3,300 </w:t>
      </w:r>
      <w:r>
        <w:rPr>
          <w:rFonts w:ascii="Arial" w:hAnsi="Arial" w:hint="cs"/>
          <w:noProof w:val="0"/>
          <w:rtl/>
        </w:rPr>
        <w:t>₪</w:t>
      </w:r>
      <w:r>
        <w:rPr>
          <w:rFonts w:ascii="Arial" w:hAnsi="Arial"/>
          <w:noProof w:val="0"/>
          <w:rtl/>
        </w:rPr>
        <w:t xml:space="preserve"> לחודש</w:t>
      </w:r>
      <w:r>
        <w:rPr>
          <w:rFonts w:ascii="Arial" w:hAnsi="Arial" w:hint="cs"/>
          <w:noProof w:val="0"/>
          <w:rtl/>
        </w:rPr>
        <w:t>;</w:t>
      </w:r>
    </w:p>
    <w:p w:rsidR="008263FF" w:rsidRDefault="008263FF" w:rsidP="008263FF">
      <w:pPr>
        <w:pStyle w:val="ad"/>
        <w:spacing w:after="120" w:line="360" w:lineRule="auto"/>
        <w:ind w:left="567"/>
        <w:contextualSpacing w:val="0"/>
        <w:jc w:val="both"/>
        <w:rPr>
          <w:rFonts w:ascii="David" w:eastAsia="Calibri" w:hAnsi="David"/>
          <w:noProof w:val="0"/>
          <w:rtl/>
        </w:rPr>
      </w:pPr>
      <w:r>
        <w:rPr>
          <w:rFonts w:ascii="Arial" w:hAnsi="Arial" w:hint="cs"/>
          <w:noProof w:val="0"/>
          <w:rtl/>
        </w:rPr>
        <w:t xml:space="preserve">מכאן כי </w:t>
      </w:r>
      <w:r>
        <w:rPr>
          <w:rFonts w:ascii="Arial" w:hAnsi="Arial"/>
          <w:noProof w:val="0"/>
          <w:rtl/>
        </w:rPr>
        <w:t xml:space="preserve">אף לאחר בחינת מצבו הכלכלי של המשיב, </w:t>
      </w:r>
      <w:r>
        <w:rPr>
          <w:rFonts w:ascii="Arial" w:hAnsi="Arial" w:hint="cs"/>
          <w:noProof w:val="0"/>
          <w:rtl/>
        </w:rPr>
        <w:t>לא סבר בית משפט קמא, כלשונו,</w:t>
      </w:r>
      <w:r>
        <w:rPr>
          <w:rFonts w:ascii="Arial" w:hAnsi="Arial"/>
          <w:noProof w:val="0"/>
          <w:rtl/>
        </w:rPr>
        <w:t xml:space="preserve"> כי יש לשנות מהמסקנה</w:t>
      </w:r>
      <w:r>
        <w:rPr>
          <w:rFonts w:ascii="Arial" w:hAnsi="Arial" w:hint="cs"/>
          <w:noProof w:val="0"/>
          <w:rtl/>
        </w:rPr>
        <w:t xml:space="preserve"> (סע' 32 להחלטה קמא)</w:t>
      </w:r>
      <w:r>
        <w:rPr>
          <w:rFonts w:ascii="Arial" w:hAnsi="Arial"/>
          <w:noProof w:val="0"/>
          <w:rtl/>
        </w:rPr>
        <w:t xml:space="preserve">. </w:t>
      </w:r>
    </w:p>
    <w:p w:rsidR="008263FF" w:rsidRDefault="008263FF" w:rsidP="00DB7064">
      <w:pPr>
        <w:pStyle w:val="ad"/>
        <w:spacing w:after="120" w:line="360" w:lineRule="auto"/>
        <w:ind w:left="567"/>
        <w:contextualSpacing w:val="0"/>
        <w:jc w:val="both"/>
        <w:rPr>
          <w:rFonts w:ascii="David" w:eastAsia="Calibri" w:hAnsi="David"/>
          <w:noProof w:val="0"/>
          <w:rtl/>
        </w:rPr>
      </w:pPr>
      <w:r w:rsidRPr="00DB2B86">
        <w:rPr>
          <w:rFonts w:ascii="David" w:eastAsia="Calibri" w:hAnsi="David" w:hint="cs"/>
          <w:noProof w:val="0"/>
          <w:u w:val="single"/>
          <w:rtl/>
        </w:rPr>
        <w:t xml:space="preserve">כן נבחנה </w:t>
      </w:r>
      <w:r w:rsidRPr="00DB2B86">
        <w:rPr>
          <w:rFonts w:ascii="David" w:eastAsia="Calibri" w:hAnsi="David"/>
          <w:noProof w:val="0"/>
          <w:u w:val="single"/>
          <w:rtl/>
        </w:rPr>
        <w:t>טוב</w:t>
      </w:r>
      <w:r w:rsidRPr="00DB2B86">
        <w:rPr>
          <w:rFonts w:ascii="David" w:eastAsia="Calibri" w:hAnsi="David" w:hint="cs"/>
          <w:noProof w:val="0"/>
          <w:u w:val="single"/>
          <w:rtl/>
        </w:rPr>
        <w:t>ת</w:t>
      </w:r>
      <w:r w:rsidRPr="00DB2B86">
        <w:rPr>
          <w:rFonts w:ascii="David" w:eastAsia="Calibri" w:hAnsi="David"/>
          <w:noProof w:val="0"/>
          <w:u w:val="single"/>
          <w:rtl/>
        </w:rPr>
        <w:t xml:space="preserve"> הקטין </w:t>
      </w:r>
      <w:r w:rsidRPr="00DB2B86">
        <w:rPr>
          <w:rFonts w:ascii="David" w:eastAsia="Calibri" w:hAnsi="David" w:hint="cs"/>
          <w:noProof w:val="0"/>
          <w:u w:val="single"/>
          <w:rtl/>
        </w:rPr>
        <w:t>בעניין חינוכו</w:t>
      </w:r>
      <w:r>
        <w:rPr>
          <w:rFonts w:ascii="David" w:eastAsia="Calibri" w:hAnsi="David" w:hint="cs"/>
          <w:noProof w:val="0"/>
          <w:rtl/>
        </w:rPr>
        <w:t>, ובית משפט קמא התיר למבקשת לרשום את הקטין ל</w:t>
      </w:r>
      <w:r w:rsidRPr="00C966AF">
        <w:rPr>
          <w:rFonts w:ascii="David" w:eastAsia="Calibri" w:hAnsi="David"/>
          <w:noProof w:val="0"/>
          <w:rtl/>
        </w:rPr>
        <w:t xml:space="preserve">גן טרום-טרום חובה במושב </w:t>
      </w:r>
      <w:r>
        <w:rPr>
          <w:rFonts w:ascii="David" w:eastAsia="Calibri" w:hAnsi="David" w:hint="cs"/>
          <w:noProof w:val="0"/>
          <w:rtl/>
        </w:rPr>
        <w:t>החל</w:t>
      </w:r>
      <w:r>
        <w:rPr>
          <w:rFonts w:ascii="David" w:eastAsia="Calibri" w:hAnsi="David"/>
          <w:noProof w:val="0"/>
          <w:rtl/>
        </w:rPr>
        <w:t xml:space="preserve"> </w:t>
      </w:r>
      <w:r>
        <w:rPr>
          <w:rFonts w:ascii="David" w:eastAsia="Calibri" w:hAnsi="David" w:hint="cs"/>
          <w:noProof w:val="0"/>
          <w:rtl/>
        </w:rPr>
        <w:t>מ</w:t>
      </w:r>
      <w:r w:rsidRPr="00C966AF">
        <w:rPr>
          <w:rFonts w:ascii="David" w:eastAsia="Calibri" w:hAnsi="David"/>
          <w:noProof w:val="0"/>
          <w:rtl/>
        </w:rPr>
        <w:t>חודש ספטמבר 2023.</w:t>
      </w:r>
    </w:p>
    <w:p w:rsidR="008263FF" w:rsidRPr="00757406" w:rsidRDefault="008263FF" w:rsidP="008263FF">
      <w:pPr>
        <w:pStyle w:val="ad"/>
        <w:spacing w:after="120" w:line="360" w:lineRule="auto"/>
        <w:ind w:left="567" w:hanging="567"/>
        <w:contextualSpacing w:val="0"/>
        <w:jc w:val="both"/>
        <w:rPr>
          <w:rFonts w:ascii="David" w:eastAsia="Calibri" w:hAnsi="David"/>
          <w:noProof w:val="0"/>
          <w:u w:val="single"/>
        </w:rPr>
      </w:pPr>
      <w:r>
        <w:rPr>
          <w:rFonts w:ascii="David" w:eastAsia="Calibri" w:hAnsi="David" w:hint="cs"/>
          <w:noProof w:val="0"/>
          <w:rtl/>
        </w:rPr>
        <w:lastRenderedPageBreak/>
        <w:t>18.</w:t>
      </w:r>
      <w:r>
        <w:rPr>
          <w:rFonts w:ascii="David" w:eastAsia="Calibri" w:hAnsi="David"/>
          <w:noProof w:val="0"/>
          <w:rtl/>
        </w:rPr>
        <w:tab/>
      </w:r>
      <w:r w:rsidRPr="00DB2B86">
        <w:rPr>
          <w:rFonts w:ascii="David" w:eastAsia="Calibri" w:hAnsi="David" w:hint="cs"/>
          <w:noProof w:val="0"/>
          <w:u w:val="single"/>
          <w:rtl/>
        </w:rPr>
        <w:t>לעניין זמני השהות של הקטין עם המשיב</w:t>
      </w:r>
      <w:r w:rsidRPr="00757406">
        <w:rPr>
          <w:rFonts w:ascii="David" w:eastAsia="Calibri" w:hAnsi="David" w:hint="cs"/>
          <w:noProof w:val="0"/>
          <w:rtl/>
        </w:rPr>
        <w:t xml:space="preserve">,  נקבע כי </w:t>
      </w:r>
      <w:r w:rsidRPr="00757406">
        <w:rPr>
          <w:rFonts w:ascii="Arial" w:hAnsi="Arial"/>
          <w:noProof w:val="0"/>
          <w:rtl/>
        </w:rPr>
        <w:t>נוכח</w:t>
      </w:r>
      <w:r>
        <w:rPr>
          <w:rFonts w:ascii="Arial" w:hAnsi="Arial"/>
          <w:noProof w:val="0"/>
          <w:rtl/>
        </w:rPr>
        <w:t xml:space="preserve"> העובדה כי אחיו למחצה של הקטין שוהה עם האב בימים רביעי – שבת, </w:t>
      </w:r>
      <w:r>
        <w:rPr>
          <w:rFonts w:ascii="Arial" w:hAnsi="Arial" w:hint="cs"/>
          <w:noProof w:val="0"/>
          <w:rtl/>
        </w:rPr>
        <w:t>קיים</w:t>
      </w:r>
      <w:r>
        <w:rPr>
          <w:rFonts w:ascii="Arial" w:hAnsi="Arial"/>
          <w:noProof w:val="0"/>
          <w:rtl/>
        </w:rPr>
        <w:t xml:space="preserve"> ערך מוסף לקיום זמני השהות בזמנים המשותפים. </w:t>
      </w:r>
    </w:p>
    <w:p w:rsidR="008263FF" w:rsidRPr="00757406" w:rsidRDefault="008263FF" w:rsidP="008263FF">
      <w:pPr>
        <w:pStyle w:val="ad"/>
        <w:spacing w:after="120" w:line="360" w:lineRule="auto"/>
        <w:ind w:left="567"/>
        <w:contextualSpacing w:val="0"/>
        <w:jc w:val="both"/>
        <w:rPr>
          <w:rFonts w:ascii="David" w:eastAsia="Calibri" w:hAnsi="David"/>
          <w:noProof w:val="0"/>
          <w:u w:val="single"/>
          <w:rtl/>
        </w:rPr>
      </w:pPr>
      <w:r>
        <w:rPr>
          <w:rFonts w:ascii="Arial" w:hAnsi="Arial"/>
          <w:noProof w:val="0"/>
          <w:rtl/>
        </w:rPr>
        <w:t xml:space="preserve">בנסיבות אלו העדיף </w:t>
      </w:r>
      <w:r>
        <w:rPr>
          <w:rFonts w:ascii="Arial" w:hAnsi="Arial" w:hint="cs"/>
          <w:noProof w:val="0"/>
          <w:rtl/>
        </w:rPr>
        <w:t xml:space="preserve">בית משפט קמא </w:t>
      </w:r>
      <w:r>
        <w:rPr>
          <w:rFonts w:ascii="Arial" w:hAnsi="Arial"/>
          <w:noProof w:val="0"/>
          <w:rtl/>
        </w:rPr>
        <w:t xml:space="preserve">את הרחבת קיומם של זמני השהות במהלך </w:t>
      </w:r>
      <w:r w:rsidRPr="00757406">
        <w:rPr>
          <w:rFonts w:ascii="Arial" w:hAnsi="Arial"/>
          <w:noProof w:val="0"/>
          <w:u w:val="single"/>
          <w:rtl/>
        </w:rPr>
        <w:t>סופי השבוע</w:t>
      </w:r>
      <w:r>
        <w:rPr>
          <w:rFonts w:ascii="Arial" w:hAnsi="Arial" w:hint="cs"/>
          <w:noProof w:val="0"/>
          <w:rtl/>
        </w:rPr>
        <w:t xml:space="preserve">, חלף חיוב </w:t>
      </w:r>
      <w:r w:rsidRPr="00757406">
        <w:rPr>
          <w:rFonts w:ascii="Arial" w:hAnsi="Arial"/>
          <w:noProof w:val="0"/>
          <w:rtl/>
        </w:rPr>
        <w:t xml:space="preserve">האב בזמני שהות במהלך אמצע השבוע. </w:t>
      </w:r>
    </w:p>
    <w:p w:rsidR="008263FF" w:rsidRPr="00D96278" w:rsidRDefault="008263FF" w:rsidP="008263FF">
      <w:pPr>
        <w:pStyle w:val="ad"/>
        <w:spacing w:after="120" w:line="360" w:lineRule="auto"/>
        <w:ind w:left="567" w:hanging="567"/>
        <w:contextualSpacing w:val="0"/>
        <w:jc w:val="both"/>
        <w:rPr>
          <w:rFonts w:ascii="David" w:eastAsia="Calibri" w:hAnsi="David"/>
          <w:noProof w:val="0"/>
          <w:rtl/>
        </w:rPr>
      </w:pPr>
      <w:r w:rsidRPr="00757406">
        <w:rPr>
          <w:rFonts w:ascii="David" w:eastAsia="Calibri" w:hAnsi="David"/>
          <w:noProof w:val="0"/>
          <w:rtl/>
        </w:rPr>
        <w:tab/>
      </w:r>
      <w:r>
        <w:rPr>
          <w:rFonts w:ascii="David" w:eastAsia="Calibri" w:hAnsi="David" w:hint="cs"/>
          <w:noProof w:val="0"/>
          <w:u w:val="single"/>
          <w:rtl/>
        </w:rPr>
        <w:t xml:space="preserve">על כן </w:t>
      </w:r>
      <w:r w:rsidRPr="00DB2B86">
        <w:rPr>
          <w:rFonts w:ascii="David" w:eastAsia="Calibri" w:hAnsi="David" w:hint="cs"/>
          <w:noProof w:val="0"/>
          <w:u w:val="single"/>
          <w:rtl/>
        </w:rPr>
        <w:t xml:space="preserve">נקבע כי </w:t>
      </w:r>
      <w:r w:rsidRPr="00DB2B86">
        <w:rPr>
          <w:rFonts w:ascii="David" w:eastAsia="Calibri" w:hAnsi="David"/>
          <w:noProof w:val="0"/>
          <w:u w:val="single"/>
          <w:rtl/>
        </w:rPr>
        <w:t>בשלב זה ובאופן זמני עד למעבר</w:t>
      </w:r>
      <w:r w:rsidRPr="00DB2B86">
        <w:rPr>
          <w:rFonts w:ascii="David" w:eastAsia="Calibri" w:hAnsi="David" w:hint="cs"/>
          <w:noProof w:val="0"/>
          <w:u w:val="single"/>
          <w:rtl/>
        </w:rPr>
        <w:t xml:space="preserve"> </w:t>
      </w:r>
      <w:r w:rsidRPr="00DB2B86">
        <w:rPr>
          <w:rFonts w:ascii="David" w:eastAsia="Calibri" w:hAnsi="David"/>
          <w:noProof w:val="0"/>
          <w:u w:val="single"/>
          <w:rtl/>
        </w:rPr>
        <w:t>המבקשת</w:t>
      </w:r>
      <w:r w:rsidR="00984371">
        <w:rPr>
          <w:rFonts w:ascii="David" w:eastAsia="Calibri" w:hAnsi="David" w:hint="cs"/>
          <w:noProof w:val="0"/>
          <w:u w:val="single"/>
          <w:rtl/>
        </w:rPr>
        <w:t xml:space="preserve"> ל-</w:t>
      </w:r>
      <w:r w:rsidR="00984371">
        <w:rPr>
          <w:rFonts w:ascii="David" w:eastAsia="Calibri" w:hAnsi="David" w:hint="cs"/>
          <w:noProof w:val="0"/>
          <w:u w:val="single"/>
        </w:rPr>
        <w:t>X</w:t>
      </w:r>
      <w:r w:rsidRPr="00DB2B86">
        <w:rPr>
          <w:rFonts w:ascii="David" w:eastAsia="Calibri" w:hAnsi="David"/>
          <w:noProof w:val="0"/>
          <w:u w:val="single"/>
          <w:rtl/>
        </w:rPr>
        <w:t xml:space="preserve">, יתקיימו </w:t>
      </w:r>
      <w:r>
        <w:rPr>
          <w:rFonts w:ascii="David" w:eastAsia="Calibri" w:hAnsi="David" w:hint="cs"/>
          <w:noProof w:val="0"/>
          <w:u w:val="single"/>
          <w:rtl/>
        </w:rPr>
        <w:t xml:space="preserve">זמני שהות הקטין עם אביו </w:t>
      </w:r>
      <w:r w:rsidRPr="00DB2B86">
        <w:rPr>
          <w:rFonts w:ascii="David" w:eastAsia="Calibri" w:hAnsi="David"/>
          <w:noProof w:val="0"/>
          <w:u w:val="single"/>
          <w:rtl/>
        </w:rPr>
        <w:t>כדלקמן</w:t>
      </w:r>
      <w:r w:rsidRPr="00D96278">
        <w:rPr>
          <w:rFonts w:ascii="David" w:eastAsia="Calibri" w:hAnsi="David"/>
          <w:noProof w:val="0"/>
          <w:rtl/>
        </w:rPr>
        <w:t>:</w:t>
      </w:r>
    </w:p>
    <w:p w:rsidR="008263FF" w:rsidRPr="00D96278" w:rsidRDefault="008263FF" w:rsidP="008263FF">
      <w:pPr>
        <w:pStyle w:val="ad"/>
        <w:spacing w:after="120" w:line="360" w:lineRule="auto"/>
        <w:ind w:left="567" w:hanging="567"/>
        <w:contextualSpacing w:val="0"/>
        <w:jc w:val="both"/>
        <w:rPr>
          <w:rFonts w:ascii="David" w:eastAsia="Calibri" w:hAnsi="David"/>
          <w:noProof w:val="0"/>
          <w:rtl/>
        </w:rPr>
      </w:pPr>
      <w:r>
        <w:rPr>
          <w:rFonts w:ascii="David" w:eastAsia="Calibri" w:hAnsi="David"/>
          <w:noProof w:val="0"/>
          <w:rtl/>
        </w:rPr>
        <w:tab/>
      </w:r>
      <w:r w:rsidRPr="00D96278">
        <w:rPr>
          <w:rFonts w:ascii="David" w:eastAsia="Calibri" w:hAnsi="David"/>
          <w:noProof w:val="0"/>
          <w:rtl/>
        </w:rPr>
        <w:t xml:space="preserve">שבוע 1: בימים חמישי </w:t>
      </w:r>
      <w:r>
        <w:rPr>
          <w:rFonts w:ascii="David" w:eastAsia="Calibri" w:hAnsi="David"/>
          <w:noProof w:val="0"/>
          <w:rtl/>
        </w:rPr>
        <w:t>–</w:t>
      </w:r>
      <w:r w:rsidRPr="00D96278">
        <w:rPr>
          <w:rFonts w:ascii="David" w:eastAsia="Calibri" w:hAnsi="David"/>
          <w:noProof w:val="0"/>
          <w:rtl/>
        </w:rPr>
        <w:t xml:space="preserve"> מוצ"ש </w:t>
      </w:r>
      <w:r>
        <w:rPr>
          <w:rFonts w:ascii="David" w:eastAsia="Calibri" w:hAnsi="David"/>
          <w:noProof w:val="0"/>
          <w:rtl/>
        </w:rPr>
        <w:t>–</w:t>
      </w:r>
      <w:r w:rsidRPr="00D96278">
        <w:rPr>
          <w:rFonts w:ascii="David" w:eastAsia="Calibri" w:hAnsi="David"/>
          <w:noProof w:val="0"/>
          <w:rtl/>
        </w:rPr>
        <w:t xml:space="preserve"> המבקשת תסיע את הקטין לביתו של המשיב עד השעה 18:00, ותאסוף את הקטין מביתו של המשיב עד שעתיים וחצי לאחר צאת השבת;</w:t>
      </w:r>
    </w:p>
    <w:p w:rsidR="008263FF" w:rsidRPr="00D96278" w:rsidRDefault="008263FF" w:rsidP="008263FF">
      <w:pPr>
        <w:pStyle w:val="ad"/>
        <w:spacing w:after="120" w:line="360" w:lineRule="auto"/>
        <w:ind w:left="567" w:hanging="567"/>
        <w:contextualSpacing w:val="0"/>
        <w:jc w:val="both"/>
        <w:rPr>
          <w:rFonts w:ascii="David" w:eastAsia="Calibri" w:hAnsi="David"/>
          <w:noProof w:val="0"/>
          <w:rtl/>
        </w:rPr>
      </w:pPr>
      <w:r>
        <w:rPr>
          <w:rFonts w:ascii="David" w:eastAsia="Calibri" w:hAnsi="David"/>
          <w:noProof w:val="0"/>
          <w:rtl/>
        </w:rPr>
        <w:tab/>
      </w:r>
      <w:r w:rsidRPr="00D96278">
        <w:rPr>
          <w:rFonts w:ascii="David" w:eastAsia="Calibri" w:hAnsi="David"/>
          <w:noProof w:val="0"/>
          <w:rtl/>
        </w:rPr>
        <w:t xml:space="preserve">שבוע 2:  בימים חמישי </w:t>
      </w:r>
      <w:r>
        <w:rPr>
          <w:rFonts w:ascii="David" w:eastAsia="Calibri" w:hAnsi="David"/>
          <w:noProof w:val="0"/>
          <w:rtl/>
        </w:rPr>
        <w:t>–</w:t>
      </w:r>
      <w:r w:rsidRPr="00D96278">
        <w:rPr>
          <w:rFonts w:ascii="David" w:eastAsia="Calibri" w:hAnsi="David"/>
          <w:noProof w:val="0"/>
          <w:rtl/>
        </w:rPr>
        <w:t xml:space="preserve"> שישי </w:t>
      </w:r>
      <w:r>
        <w:rPr>
          <w:rFonts w:ascii="David" w:eastAsia="Calibri" w:hAnsi="David"/>
          <w:noProof w:val="0"/>
          <w:rtl/>
        </w:rPr>
        <w:t>–</w:t>
      </w:r>
      <w:r w:rsidRPr="00D96278">
        <w:rPr>
          <w:rFonts w:ascii="David" w:eastAsia="Calibri" w:hAnsi="David"/>
          <w:noProof w:val="0"/>
          <w:rtl/>
        </w:rPr>
        <w:t xml:space="preserve"> המבקשת תסיע את הקטין</w:t>
      </w:r>
      <w:r w:rsidR="00DB7064">
        <w:rPr>
          <w:rFonts w:ascii="David" w:eastAsia="Calibri" w:hAnsi="David"/>
          <w:noProof w:val="0"/>
          <w:rtl/>
        </w:rPr>
        <w:t xml:space="preserve"> לביתו של המשיב עד השעה 18:00, </w:t>
      </w:r>
      <w:r w:rsidRPr="00D96278">
        <w:rPr>
          <w:rFonts w:ascii="David" w:eastAsia="Calibri" w:hAnsi="David"/>
          <w:noProof w:val="0"/>
          <w:rtl/>
        </w:rPr>
        <w:t xml:space="preserve">ותאסוף את הקטין ביום שישי בשעה 12:00 מביתו של המשיב. </w:t>
      </w:r>
    </w:p>
    <w:p w:rsidR="008263FF" w:rsidRDefault="008263FF" w:rsidP="008263FF">
      <w:pPr>
        <w:pStyle w:val="ad"/>
        <w:spacing w:after="120" w:line="360" w:lineRule="auto"/>
        <w:ind w:left="567" w:hanging="567"/>
        <w:contextualSpacing w:val="0"/>
        <w:jc w:val="both"/>
        <w:rPr>
          <w:rFonts w:ascii="David" w:eastAsia="Calibri" w:hAnsi="David"/>
          <w:noProof w:val="0"/>
          <w:rtl/>
        </w:rPr>
      </w:pPr>
      <w:r>
        <w:rPr>
          <w:rFonts w:ascii="David" w:eastAsia="Calibri" w:hAnsi="David"/>
          <w:noProof w:val="0"/>
          <w:rtl/>
        </w:rPr>
        <w:tab/>
      </w:r>
      <w:r>
        <w:rPr>
          <w:rFonts w:ascii="David" w:eastAsia="Calibri" w:hAnsi="David" w:hint="cs"/>
          <w:noProof w:val="0"/>
          <w:rtl/>
        </w:rPr>
        <w:t xml:space="preserve">כן נקבע, כי </w:t>
      </w:r>
      <w:r>
        <w:rPr>
          <w:rFonts w:ascii="David" w:eastAsia="Calibri" w:hAnsi="David"/>
          <w:noProof w:val="0"/>
          <w:rtl/>
        </w:rPr>
        <w:t xml:space="preserve">כדי לאזן במקצת את </w:t>
      </w:r>
      <w:r w:rsidRPr="00D96278">
        <w:rPr>
          <w:rFonts w:ascii="David" w:eastAsia="Calibri" w:hAnsi="David"/>
          <w:noProof w:val="0"/>
          <w:rtl/>
        </w:rPr>
        <w:t>נטל</w:t>
      </w:r>
      <w:r>
        <w:rPr>
          <w:rFonts w:ascii="David" w:eastAsia="Calibri" w:hAnsi="David" w:hint="cs"/>
          <w:noProof w:val="0"/>
          <w:rtl/>
        </w:rPr>
        <w:t xml:space="preserve"> ההסעות</w:t>
      </w:r>
      <w:r w:rsidRPr="00D96278">
        <w:rPr>
          <w:rFonts w:ascii="David" w:eastAsia="Calibri" w:hAnsi="David"/>
          <w:noProof w:val="0"/>
          <w:rtl/>
        </w:rPr>
        <w:t xml:space="preserve">, מידי שבועיים נסיעה אחת תבוצע על ידי המשיב במקום על ידי המבקשת. </w:t>
      </w:r>
    </w:p>
    <w:p w:rsidR="008263FF" w:rsidRPr="00183D8A" w:rsidRDefault="008263FF" w:rsidP="008263FF">
      <w:pPr>
        <w:pStyle w:val="ad"/>
        <w:spacing w:after="120" w:line="360" w:lineRule="auto"/>
        <w:ind w:left="567" w:hanging="567"/>
        <w:contextualSpacing w:val="0"/>
        <w:jc w:val="both"/>
        <w:rPr>
          <w:b/>
          <w:bCs/>
          <w:rtl/>
        </w:rPr>
      </w:pPr>
      <w:r w:rsidRPr="007E7894">
        <w:rPr>
          <w:rFonts w:hint="cs"/>
          <w:rtl/>
        </w:rPr>
        <w:t>19.</w:t>
      </w:r>
      <w:r w:rsidRPr="007E7894">
        <w:rPr>
          <w:rFonts w:hint="cs"/>
          <w:rtl/>
        </w:rPr>
        <w:tab/>
      </w:r>
      <w:r w:rsidRPr="007D091E">
        <w:rPr>
          <w:rFonts w:hint="cs"/>
          <w:rtl/>
        </w:rPr>
        <w:t>בקשת רשות הערעור דנן הוגשה בגין הקביעות המתוארות בסעיפים 15-16 לעיל.</w:t>
      </w:r>
    </w:p>
    <w:p w:rsidR="008263FF" w:rsidRDefault="008263FF" w:rsidP="008263FF">
      <w:pPr>
        <w:spacing w:after="120" w:line="360" w:lineRule="auto"/>
        <w:jc w:val="both"/>
        <w:rPr>
          <w:b/>
          <w:bCs/>
          <w:u w:val="single"/>
          <w:rtl/>
        </w:rPr>
      </w:pPr>
    </w:p>
    <w:p w:rsidR="008263FF" w:rsidRDefault="008263FF" w:rsidP="008263FF">
      <w:pPr>
        <w:spacing w:after="120" w:line="360" w:lineRule="auto"/>
        <w:jc w:val="both"/>
        <w:rPr>
          <w:b/>
          <w:bCs/>
          <w:u w:val="single"/>
          <w:rtl/>
        </w:rPr>
      </w:pPr>
      <w:r>
        <w:rPr>
          <w:b/>
          <w:bCs/>
          <w:u w:val="single"/>
          <w:rtl/>
        </w:rPr>
        <w:t xml:space="preserve">טענות </w:t>
      </w:r>
      <w:r>
        <w:rPr>
          <w:rFonts w:hint="cs"/>
          <w:b/>
          <w:bCs/>
          <w:u w:val="single"/>
          <w:rtl/>
        </w:rPr>
        <w:t>הצדדים בבקשת רשות הערעור</w:t>
      </w:r>
    </w:p>
    <w:p w:rsidR="008263FF" w:rsidRDefault="008263FF" w:rsidP="008263FF">
      <w:pPr>
        <w:spacing w:after="120" w:line="360" w:lineRule="auto"/>
        <w:jc w:val="both"/>
        <w:rPr>
          <w:rtl/>
        </w:rPr>
      </w:pPr>
      <w:r>
        <w:rPr>
          <w:rFonts w:hint="cs"/>
          <w:rtl/>
        </w:rPr>
        <w:t>20</w:t>
      </w:r>
      <w:r>
        <w:rPr>
          <w:rtl/>
        </w:rPr>
        <w:t>.</w:t>
      </w:r>
      <w:r>
        <w:rPr>
          <w:rtl/>
        </w:rPr>
        <w:tab/>
      </w:r>
      <w:r>
        <w:rPr>
          <w:rFonts w:hint="cs"/>
          <w:u w:val="single"/>
          <w:rtl/>
        </w:rPr>
        <w:t>להלן תמצית טענות המבקשת בבקשת רשות הערעור</w:t>
      </w:r>
      <w:r>
        <w:rPr>
          <w:rtl/>
        </w:rPr>
        <w:t>:</w:t>
      </w:r>
    </w:p>
    <w:p w:rsidR="008263FF" w:rsidRDefault="008263FF" w:rsidP="008263FF">
      <w:pPr>
        <w:spacing w:after="120" w:line="360" w:lineRule="auto"/>
        <w:ind w:left="1275" w:hanging="567"/>
        <w:jc w:val="both"/>
        <w:rPr>
          <w:rtl/>
        </w:rPr>
      </w:pPr>
      <w:r>
        <w:rPr>
          <w:rtl/>
        </w:rPr>
        <w:t>א.</w:t>
      </w:r>
      <w:r>
        <w:rPr>
          <w:rtl/>
        </w:rPr>
        <w:tab/>
      </w:r>
      <w:r>
        <w:rPr>
          <w:rFonts w:hint="cs"/>
          <w:rtl/>
        </w:rPr>
        <w:t xml:space="preserve">בקשת רשות הערעור מופנית בעיקר כלפי שורת קביעות שגויות בהחלטה קמא, שאינן מחוברות, כך לגרסת המבקשת, למציאות חייה של המבקשת ובנה, ויש בהן כדי למוטט ולהטיל חורבן עליה ועל ילדיה. </w:t>
      </w:r>
    </w:p>
    <w:p w:rsidR="008263FF" w:rsidRDefault="008263FF" w:rsidP="008263FF">
      <w:pPr>
        <w:spacing w:after="120" w:line="360" w:lineRule="auto"/>
        <w:ind w:left="1275" w:hanging="567"/>
        <w:jc w:val="both"/>
        <w:rPr>
          <w:rtl/>
        </w:rPr>
      </w:pPr>
      <w:r>
        <w:rPr>
          <w:rFonts w:hint="cs"/>
          <w:rtl/>
        </w:rPr>
        <w:t>ב.</w:t>
      </w:r>
      <w:r>
        <w:rPr>
          <w:rFonts w:hint="cs"/>
          <w:rtl/>
        </w:rPr>
        <w:tab/>
        <w:t xml:space="preserve">שגה בית משפט קמא, עת העריך את סך הכנסות המבקשת בשיעור של 8,500 ₪ לחודש, ואת הכנסתה הפנויה בסך של 4,975 ₪. המבקשת אינה עובדת מזה זמן רב ואין לה כל מקור הכנסה נוכח כל האירועים המאתגרים שבחייה. כיום אין לה כל מקור פרנסה. </w:t>
      </w:r>
    </w:p>
    <w:p w:rsidR="008263FF" w:rsidRDefault="008263FF" w:rsidP="008263FF">
      <w:pPr>
        <w:spacing w:after="120" w:line="360" w:lineRule="auto"/>
        <w:ind w:left="1275" w:hanging="567"/>
        <w:jc w:val="both"/>
        <w:rPr>
          <w:rtl/>
        </w:rPr>
      </w:pPr>
      <w:r>
        <w:rPr>
          <w:rtl/>
        </w:rPr>
        <w:tab/>
      </w:r>
      <w:r>
        <w:rPr>
          <w:rFonts w:hint="cs"/>
          <w:rtl/>
        </w:rPr>
        <w:t>סכום המזונות עבור הקטין, בסך 1700 ₪ לחודש, לא מספיק ולו לצרכיו הבסיסיים.</w:t>
      </w:r>
    </w:p>
    <w:p w:rsidR="008263FF" w:rsidRDefault="008263FF" w:rsidP="008263FF">
      <w:pPr>
        <w:spacing w:after="120" w:line="360" w:lineRule="auto"/>
        <w:ind w:left="1275" w:hanging="567"/>
        <w:jc w:val="both"/>
        <w:rPr>
          <w:rtl/>
        </w:rPr>
      </w:pPr>
      <w:r>
        <w:rPr>
          <w:rtl/>
        </w:rPr>
        <w:tab/>
      </w:r>
      <w:r>
        <w:rPr>
          <w:rFonts w:hint="cs"/>
          <w:rtl/>
        </w:rPr>
        <w:t>כן שגה בית משפט קמא, עת כלל את קצבת השארים שמקבלת המבקשת עבור בתה, בסך של 1,232 ₪ לחודש. אין לראות בקצבה זו הכנסה של המבקשת עצמה, ו/או בנה הקטין, מאחר שמיועדת לכיסוי, גם אם חלקי בלבד, של הוצאות הבת.</w:t>
      </w:r>
    </w:p>
    <w:p w:rsidR="008263FF" w:rsidRDefault="008263FF" w:rsidP="008263FF">
      <w:pPr>
        <w:spacing w:after="120" w:line="360" w:lineRule="auto"/>
        <w:ind w:left="1275" w:hanging="567"/>
        <w:jc w:val="both"/>
        <w:rPr>
          <w:rtl/>
        </w:rPr>
      </w:pPr>
      <w:r>
        <w:rPr>
          <w:rFonts w:hint="cs"/>
          <w:rtl/>
        </w:rPr>
        <w:t>ג.</w:t>
      </w:r>
      <w:r>
        <w:rPr>
          <w:rFonts w:hint="cs"/>
          <w:rtl/>
        </w:rPr>
        <w:tab/>
        <w:t xml:space="preserve">המבקשת היתה תלויה באופן מוחלט במשיב, שסירב ליציאתה לעבודה. למבקשת אין כל פוטנציאל השתכרות; היא לא למדה ולא התמקצעה בתחום כלשהו בעוד שהמשיב בעל מומחיות בתחומו ובעל אופק קידום ופוטנציאל השתכרות גבוה ומשמעותי. </w:t>
      </w:r>
    </w:p>
    <w:p w:rsidR="008263FF" w:rsidRDefault="008263FF" w:rsidP="00DB7064">
      <w:pPr>
        <w:spacing w:after="120" w:line="360" w:lineRule="auto"/>
        <w:ind w:left="1275" w:hanging="567"/>
        <w:jc w:val="both"/>
        <w:rPr>
          <w:rtl/>
        </w:rPr>
      </w:pPr>
      <w:r>
        <w:rPr>
          <w:rFonts w:hint="cs"/>
          <w:rtl/>
        </w:rPr>
        <w:lastRenderedPageBreak/>
        <w:t>ד.</w:t>
      </w:r>
      <w:r>
        <w:rPr>
          <w:rFonts w:hint="cs"/>
          <w:rtl/>
        </w:rPr>
        <w:tab/>
        <w:t>שגה בית משפט קמא בקביעתו כי יש ביכולתה של המבקשת לשכור די</w:t>
      </w:r>
      <w:r w:rsidR="00DB7064">
        <w:rPr>
          <w:rFonts w:hint="cs"/>
          <w:rtl/>
        </w:rPr>
        <w:t>רה מתאימה למגורים עם הקטין ב-</w:t>
      </w:r>
      <w:r w:rsidR="00DB7064">
        <w:rPr>
          <w:rFonts w:hint="cs"/>
        </w:rPr>
        <w:t>X</w:t>
      </w:r>
      <w:r>
        <w:rPr>
          <w:rFonts w:hint="cs"/>
          <w:rtl/>
        </w:rPr>
        <w:t xml:space="preserve">, וכן לכלכל אותם בכבוד, ללא עזרה המתקבלת מהוריה במגורים אצלם. גם לו תמצא המבקשת עבודה, הרי שלא תוכל לשאת לבדה בעלות השכירות, הוצאות אחזקת הבית וכלכלה. חיוב המבקשת לשוב להתגורר </w:t>
      </w:r>
      <w:r w:rsidR="00DB7064">
        <w:rPr>
          <w:rFonts w:hint="cs"/>
          <w:rtl/>
        </w:rPr>
        <w:t>ב-</w:t>
      </w:r>
      <w:r w:rsidR="00DB7064">
        <w:rPr>
          <w:rFonts w:hint="cs"/>
        </w:rPr>
        <w:t>X</w:t>
      </w:r>
      <w:r>
        <w:rPr>
          <w:rFonts w:hint="cs"/>
          <w:rtl/>
        </w:rPr>
        <w:t xml:space="preserve"> יגרום לה ולקטין נזקים משמעותיים, אשר עתידיים להותירם ברחוב בתת תנאים. </w:t>
      </w:r>
    </w:p>
    <w:p w:rsidR="008263FF" w:rsidRDefault="008263FF" w:rsidP="00DB7064">
      <w:pPr>
        <w:spacing w:after="120" w:line="360" w:lineRule="auto"/>
        <w:ind w:left="1275" w:hanging="567"/>
        <w:jc w:val="both"/>
        <w:rPr>
          <w:rtl/>
        </w:rPr>
      </w:pPr>
      <w:r>
        <w:rPr>
          <w:rtl/>
        </w:rPr>
        <w:tab/>
      </w:r>
      <w:r w:rsidR="00DB7064">
        <w:rPr>
          <w:rFonts w:hint="cs"/>
          <w:rtl/>
        </w:rPr>
        <w:t>לא ניתן לבצע את המעבר ל-</w:t>
      </w:r>
      <w:r w:rsidR="00DB7064">
        <w:rPr>
          <w:rFonts w:hint="cs"/>
        </w:rPr>
        <w:t>X</w:t>
      </w:r>
      <w:r>
        <w:rPr>
          <w:rFonts w:hint="cs"/>
          <w:rtl/>
        </w:rPr>
        <w:t xml:space="preserve">, בנסיבות הקשות שנוצרו בעטיו של המשיב ונוכח שינוי הנסיבות המהותי שאירע, מהם התעלם בית משפט קמא בהחלטתו. </w:t>
      </w:r>
    </w:p>
    <w:p w:rsidR="008263FF" w:rsidRDefault="008263FF" w:rsidP="00DB7064">
      <w:pPr>
        <w:spacing w:after="120" w:line="360" w:lineRule="auto"/>
        <w:ind w:left="1275" w:hanging="567"/>
        <w:jc w:val="both"/>
        <w:rPr>
          <w:rtl/>
        </w:rPr>
      </w:pPr>
      <w:r>
        <w:rPr>
          <w:rFonts w:hint="cs"/>
          <w:rtl/>
        </w:rPr>
        <w:t>ה.</w:t>
      </w:r>
      <w:r>
        <w:rPr>
          <w:rFonts w:hint="cs"/>
          <w:rtl/>
        </w:rPr>
        <w:tab/>
        <w:t xml:space="preserve">הגם שהדין והפסיקה קובעים, כי מעבר מגורים של מי מהצדדים למקום מגורים מרוחק, יש לעשות בהסכמה, הרי שישנם מקרים בהם מתיר בית המשפט מעבר מגורים מטעמים מיוחדים, החלים במקרה דנן. בפרידת הצדדים דנן, העתיקה המבקשת בלית ברירה את מקום מגוריה למושב המרוחק מהטווח שנקבע בהסכם, מטעמים אישיים וכלכליים שפורטו בבקשתה והובאו לעיל. יש להכיר במקרה זה כטעם מוצדק למעבר מקום מגורים. </w:t>
      </w:r>
    </w:p>
    <w:p w:rsidR="008263FF" w:rsidRDefault="008263FF" w:rsidP="008263FF">
      <w:pPr>
        <w:spacing w:after="120" w:line="360" w:lineRule="auto"/>
        <w:jc w:val="both"/>
        <w:rPr>
          <w:rtl/>
        </w:rPr>
      </w:pPr>
      <w:r>
        <w:rPr>
          <w:rFonts w:hint="cs"/>
          <w:rtl/>
        </w:rPr>
        <w:t>21</w:t>
      </w:r>
      <w:r w:rsidRPr="002956E7">
        <w:rPr>
          <w:rFonts w:hint="cs"/>
          <w:rtl/>
        </w:rPr>
        <w:t>.</w:t>
      </w:r>
      <w:r w:rsidRPr="002956E7">
        <w:rPr>
          <w:rFonts w:hint="cs"/>
          <w:rtl/>
        </w:rPr>
        <w:tab/>
      </w:r>
      <w:r w:rsidRPr="007E7894">
        <w:rPr>
          <w:rFonts w:hint="cs"/>
          <w:b/>
          <w:bCs/>
          <w:u w:val="single"/>
          <w:rtl/>
        </w:rPr>
        <w:t>ביקשתי, וקיבלתי את תשובת המשיב לבקשת רשות הערעור, כדלקמן</w:t>
      </w:r>
      <w:r>
        <w:rPr>
          <w:rFonts w:hint="cs"/>
          <w:rtl/>
        </w:rPr>
        <w:t>:</w:t>
      </w:r>
    </w:p>
    <w:p w:rsidR="008263FF" w:rsidRDefault="008263FF" w:rsidP="008263FF">
      <w:pPr>
        <w:spacing w:after="120" w:line="360" w:lineRule="auto"/>
        <w:ind w:left="1275" w:hanging="567"/>
        <w:jc w:val="both"/>
        <w:rPr>
          <w:rtl/>
        </w:rPr>
      </w:pPr>
      <w:r>
        <w:rPr>
          <w:rFonts w:hint="cs"/>
          <w:rtl/>
        </w:rPr>
        <w:t>א.</w:t>
      </w:r>
      <w:r>
        <w:rPr>
          <w:rFonts w:hint="cs"/>
          <w:rtl/>
        </w:rPr>
        <w:tab/>
        <w:t xml:space="preserve">בהחלטה קמא נקבעו קביעות עובדתיות בהערכת הכנסת המבקשת, כ- 8,500 ₪. המבקשת צירפה תלושי שכר מהם ניתן ללמוד כי משכורתה צפויה לעמוד על 7,440 ₪ לחודש, היינו יותר ממה שהעריך בית משפט קמא (שכר ממוצע במשק, 5571 ₪). אין כל סיבה שהמבקשת לא תצא לעבוד, כעת המבקשת איננה עובדת כי נוח לה לטעון שהיא מחוסרת עבודה. </w:t>
      </w:r>
    </w:p>
    <w:p w:rsidR="008263FF" w:rsidRDefault="008263FF" w:rsidP="00DB7064">
      <w:pPr>
        <w:spacing w:after="120" w:line="360" w:lineRule="auto"/>
        <w:ind w:left="1275" w:hanging="567"/>
        <w:jc w:val="both"/>
        <w:rPr>
          <w:rtl/>
        </w:rPr>
      </w:pPr>
      <w:r>
        <w:rPr>
          <w:rFonts w:hint="cs"/>
          <w:rtl/>
        </w:rPr>
        <w:t>ב.</w:t>
      </w:r>
      <w:r>
        <w:rPr>
          <w:rFonts w:hint="cs"/>
          <w:rtl/>
        </w:rPr>
        <w:tab/>
        <w:t>בשנה שעברה, הסכימו הצדדים על פתרון זמני ועל מנת להקל על מצבם הכלכלי שלא איפשר להם להמשיך ולשכו</w:t>
      </w:r>
      <w:r w:rsidR="00DB7064">
        <w:rPr>
          <w:rFonts w:hint="cs"/>
          <w:rtl/>
        </w:rPr>
        <w:t>ר דירה ב-</w:t>
      </w:r>
      <w:r w:rsidR="00DB7064">
        <w:rPr>
          <w:rFonts w:hint="cs"/>
        </w:rPr>
        <w:t>X</w:t>
      </w:r>
      <w:r>
        <w:rPr>
          <w:rFonts w:hint="cs"/>
          <w:rtl/>
        </w:rPr>
        <w:t>, כי המבקשת והקטין יעברו לתקופה מוגבלת עד סוף שנת הלימודים הקודמת לבית הורי המבקשת במושב</w:t>
      </w:r>
      <w:r w:rsidR="00DB7064">
        <w:rPr>
          <w:rFonts w:hint="cs"/>
          <w:rtl/>
        </w:rPr>
        <w:t>, ואח"כ ישובו להתגורר ב-</w:t>
      </w:r>
      <w:r w:rsidR="00DB7064">
        <w:rPr>
          <w:rFonts w:hint="cs"/>
        </w:rPr>
        <w:t>X</w:t>
      </w:r>
      <w:r>
        <w:rPr>
          <w:rFonts w:hint="cs"/>
          <w:rtl/>
        </w:rPr>
        <w:t>. המשיב מעולם לא נתן הסכמתו לכך שהמבקשת תשנה את מרכז חיי הקטין למושב לצמיתות.</w:t>
      </w:r>
    </w:p>
    <w:p w:rsidR="008263FF" w:rsidRDefault="008263FF" w:rsidP="00DB7064">
      <w:pPr>
        <w:spacing w:after="120" w:line="360" w:lineRule="auto"/>
        <w:ind w:left="1275" w:hanging="567"/>
        <w:jc w:val="both"/>
        <w:rPr>
          <w:rtl/>
        </w:rPr>
      </w:pPr>
      <w:r>
        <w:rPr>
          <w:rFonts w:hint="cs"/>
          <w:rtl/>
        </w:rPr>
        <w:t>ג.</w:t>
      </w:r>
      <w:r>
        <w:rPr>
          <w:rFonts w:hint="cs"/>
          <w:rtl/>
        </w:rPr>
        <w:tab/>
        <w:t>המבקשת טוענת כי היא חסרת כל ומצויה בחובות כבדים, אלא שלמעלה משמונה חודשים היא גרה בבית הוריה ומקבלת מהם עזרה, ואף במצב זה לא טורחת לצאת לעבוד ולהתפרנס. ברי כי יום לאחר סיום ההליכים המשפטיים היא תצא לעבוד. כן טוענת המבק</w:t>
      </w:r>
      <w:r w:rsidR="00DB7064">
        <w:rPr>
          <w:rFonts w:hint="cs"/>
          <w:rtl/>
        </w:rPr>
        <w:t>שת כי היא מתעתדת לשכור דירה במושב</w:t>
      </w:r>
      <w:r>
        <w:rPr>
          <w:rFonts w:hint="cs"/>
          <w:rtl/>
        </w:rPr>
        <w:t xml:space="preserve"> ולצאת</w:t>
      </w:r>
      <w:r w:rsidR="00DB7064">
        <w:rPr>
          <w:rFonts w:hint="cs"/>
          <w:rtl/>
        </w:rPr>
        <w:t xml:space="preserve"> מבית הוריה. מחירי השכירות ב-</w:t>
      </w:r>
      <w:r w:rsidR="00DB7064">
        <w:rPr>
          <w:rFonts w:hint="cs"/>
        </w:rPr>
        <w:t>X</w:t>
      </w:r>
      <w:r>
        <w:rPr>
          <w:rFonts w:hint="cs"/>
          <w:rtl/>
        </w:rPr>
        <w:t xml:space="preserve"> זולים מ</w:t>
      </w:r>
      <w:r w:rsidR="00DB7064">
        <w:rPr>
          <w:rFonts w:hint="cs"/>
          <w:rtl/>
        </w:rPr>
        <w:t>מחירי השכירות במושב</w:t>
      </w:r>
      <w:r>
        <w:rPr>
          <w:rFonts w:hint="cs"/>
          <w:rtl/>
        </w:rPr>
        <w:t>. אם יש למב</w:t>
      </w:r>
      <w:r w:rsidR="00DB7064">
        <w:rPr>
          <w:rFonts w:hint="cs"/>
          <w:rtl/>
        </w:rPr>
        <w:t>קשת יכולת כלכלית לשכור דירה במושב</w:t>
      </w:r>
      <w:r>
        <w:rPr>
          <w:rFonts w:hint="cs"/>
          <w:rtl/>
        </w:rPr>
        <w:t xml:space="preserve"> </w:t>
      </w:r>
      <w:r>
        <w:rPr>
          <w:rtl/>
        </w:rPr>
        <w:t>–</w:t>
      </w:r>
      <w:r>
        <w:rPr>
          <w:rFonts w:hint="cs"/>
          <w:rtl/>
        </w:rPr>
        <w:t xml:space="preserve"> יש</w:t>
      </w:r>
      <w:r w:rsidR="00DB7064">
        <w:rPr>
          <w:rFonts w:hint="cs"/>
          <w:rtl/>
        </w:rPr>
        <w:t xml:space="preserve"> לה יכולת כלכלית לשכור דירה ב-</w:t>
      </w:r>
      <w:r w:rsidR="00DB7064">
        <w:rPr>
          <w:rFonts w:hint="cs"/>
        </w:rPr>
        <w:t>X</w:t>
      </w:r>
      <w:r>
        <w:rPr>
          <w:rFonts w:hint="cs"/>
          <w:rtl/>
        </w:rPr>
        <w:t xml:space="preserve"> ולהתקיים עם שני הקטינים. </w:t>
      </w:r>
    </w:p>
    <w:p w:rsidR="008263FF" w:rsidRDefault="008263FF" w:rsidP="008263FF">
      <w:pPr>
        <w:spacing w:after="120" w:line="360" w:lineRule="auto"/>
        <w:ind w:left="1275" w:hanging="567"/>
        <w:jc w:val="both"/>
        <w:rPr>
          <w:rtl/>
        </w:rPr>
      </w:pPr>
      <w:r>
        <w:rPr>
          <w:rFonts w:hint="cs"/>
          <w:rtl/>
        </w:rPr>
        <w:t>ד.</w:t>
      </w:r>
      <w:r>
        <w:rPr>
          <w:rFonts w:hint="cs"/>
          <w:rtl/>
        </w:rPr>
        <w:tab/>
        <w:t>אישור מעבר</w:t>
      </w:r>
      <w:r w:rsidR="00DB7064">
        <w:rPr>
          <w:rFonts w:hint="cs"/>
          <w:rtl/>
        </w:rPr>
        <w:t xml:space="preserve"> מגורי קבע של המבקשת והקטין למושב</w:t>
      </w:r>
      <w:r>
        <w:rPr>
          <w:rFonts w:hint="cs"/>
          <w:rtl/>
        </w:rPr>
        <w:t xml:space="preserve"> משמעותו צמצום ניכר בזמני השהות של המשיב עם הקטין; לא ניתן להשוות בין זמני השהות המתקיימים בבית המשיב לזמני השהות המתקיימים בסביבה חיצונית כגון פארק או גן שעשועים. קיימת עדיפות לכך שזמני השהות של הקטין עם אחיו (בנו של המשיב מנישואיו הקודמים) יהיו מתואמים כדי שיוכלו לבלות יחדיו. </w:t>
      </w:r>
      <w:r>
        <w:rPr>
          <w:rFonts w:hint="cs"/>
          <w:rtl/>
        </w:rPr>
        <w:lastRenderedPageBreak/>
        <w:t>המשיב אף לא מסוגל לע</w:t>
      </w:r>
      <w:r w:rsidR="00DB7064">
        <w:rPr>
          <w:rFonts w:hint="cs"/>
          <w:rtl/>
        </w:rPr>
        <w:t>מוד מבחינה בריאותית בנסיעות למושב</w:t>
      </w:r>
      <w:r>
        <w:rPr>
          <w:rFonts w:hint="cs"/>
          <w:rtl/>
        </w:rPr>
        <w:t>, הוא סובל מבעיות גב ובעל 19% נכות צמיתה מהמל"ל בגין כך.</w:t>
      </w:r>
    </w:p>
    <w:p w:rsidR="008263FF" w:rsidRDefault="008263FF" w:rsidP="008263FF">
      <w:pPr>
        <w:spacing w:after="120" w:line="360" w:lineRule="auto"/>
        <w:ind w:left="1275" w:hanging="567"/>
        <w:jc w:val="both"/>
        <w:rPr>
          <w:rtl/>
        </w:rPr>
      </w:pPr>
      <w:r>
        <w:rPr>
          <w:rFonts w:hint="cs"/>
          <w:rtl/>
        </w:rPr>
        <w:t>ה.</w:t>
      </w:r>
      <w:r>
        <w:rPr>
          <w:rtl/>
        </w:rPr>
        <w:tab/>
      </w:r>
      <w:r>
        <w:rPr>
          <w:rFonts w:hint="cs"/>
          <w:rtl/>
        </w:rPr>
        <w:t xml:space="preserve">המבקשת בוחרת להתעלם מההסכם ולעשות ככל העולה על רוחה אבל רוצה ליהנות מסעיפי ההסכם אשר מיטיבים עמה. יש להתייחס אל ההסכם כאל מקשה אחת. סעיפי ההסכם שלובים </w:t>
      </w:r>
      <w:r>
        <w:rPr>
          <w:rtl/>
        </w:rPr>
        <w:t>–</w:t>
      </w:r>
      <w:r>
        <w:rPr>
          <w:rFonts w:hint="cs"/>
          <w:rtl/>
        </w:rPr>
        <w:t xml:space="preserve"> זמני השהות, מזונות הקטין ומקום המגורים. </w:t>
      </w:r>
    </w:p>
    <w:p w:rsidR="008263FF" w:rsidRPr="002956E7" w:rsidRDefault="008263FF" w:rsidP="00DB7064">
      <w:pPr>
        <w:spacing w:after="120" w:line="360" w:lineRule="auto"/>
        <w:ind w:left="1275" w:hanging="567"/>
        <w:jc w:val="both"/>
        <w:rPr>
          <w:rtl/>
        </w:rPr>
      </w:pPr>
      <w:r>
        <w:rPr>
          <w:rFonts w:hint="cs"/>
          <w:rtl/>
        </w:rPr>
        <w:t>ו.</w:t>
      </w:r>
      <w:r>
        <w:rPr>
          <w:rFonts w:hint="cs"/>
          <w:rtl/>
        </w:rPr>
        <w:tab/>
        <w:t>המבקשת לא רואה לנגד עיניה את טובת הקטין. מיום מעבר המבקשת והקטין למושב, המבקשת ניתקה לחלוטין את הקטין מאביו למשך חודש וחצי, ורק לאחר התערבות בית משפט קמא החל האב לראות את בנו. רצון המבקשת הוא למדר את המשיב מחיי הקטין ולהפכו לכספומט בלבד, לצמצם את זמני השהות של הקטין עם אביו ואף לקבל זכות חתימה בלעדית בענייני חינוך ורפואה של הקטין.</w:t>
      </w:r>
    </w:p>
    <w:p w:rsidR="008263FF" w:rsidRPr="009B17CA" w:rsidRDefault="008263FF" w:rsidP="008263FF">
      <w:pPr>
        <w:spacing w:after="120" w:line="360" w:lineRule="auto"/>
        <w:jc w:val="both"/>
        <w:rPr>
          <w:rtl/>
        </w:rPr>
      </w:pPr>
    </w:p>
    <w:p w:rsidR="008263FF" w:rsidRDefault="008263FF" w:rsidP="008263FF">
      <w:pPr>
        <w:spacing w:after="120" w:line="360" w:lineRule="auto"/>
        <w:jc w:val="both"/>
        <w:rPr>
          <w:b/>
          <w:bCs/>
          <w:u w:val="single"/>
          <w:rtl/>
        </w:rPr>
      </w:pPr>
      <w:r>
        <w:rPr>
          <w:b/>
          <w:bCs/>
          <w:u w:val="single"/>
          <w:rtl/>
        </w:rPr>
        <w:t>דיון והכרעה</w:t>
      </w:r>
    </w:p>
    <w:p w:rsidR="008263FF" w:rsidRDefault="008263FF" w:rsidP="008263FF">
      <w:pPr>
        <w:spacing w:after="120" w:line="360" w:lineRule="auto"/>
        <w:ind w:left="720" w:hanging="720"/>
        <w:jc w:val="both"/>
        <w:rPr>
          <w:rFonts w:ascii="Arial" w:hAnsi="Arial"/>
          <w:noProof w:val="0"/>
          <w:rtl/>
        </w:rPr>
      </w:pPr>
      <w:r>
        <w:rPr>
          <w:rFonts w:hint="cs"/>
          <w:rtl/>
        </w:rPr>
        <w:t>22</w:t>
      </w:r>
      <w:r>
        <w:rPr>
          <w:rtl/>
        </w:rPr>
        <w:t>.</w:t>
      </w:r>
      <w:r>
        <w:rPr>
          <w:rtl/>
        </w:rPr>
        <w:tab/>
      </w:r>
      <w:r>
        <w:rPr>
          <w:rFonts w:ascii="David" w:hAnsi="David" w:hint="cs"/>
          <w:b/>
          <w:bCs/>
          <w:rtl/>
        </w:rPr>
        <w:t xml:space="preserve">לאחר </w:t>
      </w:r>
      <w:r w:rsidRPr="00CB5D53">
        <w:rPr>
          <w:rFonts w:ascii="David" w:hAnsi="David" w:hint="cs"/>
          <w:b/>
          <w:bCs/>
          <w:rtl/>
        </w:rPr>
        <w:t>עיון בבקשה ובתשובה ובתיק קמא, החלטתי ליתן רשות ערעור, לדון בערעור לגופו ולקבלו, והכל</w:t>
      </w:r>
      <w:r>
        <w:rPr>
          <w:rFonts w:ascii="David" w:hAnsi="David" w:hint="cs"/>
          <w:b/>
          <w:bCs/>
          <w:rtl/>
        </w:rPr>
        <w:t xml:space="preserve"> כפי שיפורט להלן. </w:t>
      </w:r>
      <w:r w:rsidRPr="0061168F">
        <w:rPr>
          <w:rFonts w:ascii="David" w:hAnsi="David" w:hint="cs"/>
          <w:b/>
          <w:bCs/>
          <w:rtl/>
        </w:rPr>
        <w:t>זאת מכוח סמכותי על פי סעיפים 138(א)(2)+(5) לתקנות סדר הדין האזרחי, התשע"ט-2018.</w:t>
      </w:r>
      <w:r>
        <w:rPr>
          <w:rFonts w:ascii="David" w:hAnsi="David" w:hint="cs"/>
          <w:rtl/>
        </w:rPr>
        <w:t xml:space="preserve"> </w:t>
      </w:r>
    </w:p>
    <w:p w:rsidR="008263FF" w:rsidRDefault="008263FF" w:rsidP="00DB7064">
      <w:pPr>
        <w:spacing w:after="120" w:line="360" w:lineRule="auto"/>
        <w:ind w:left="720" w:hanging="720"/>
        <w:jc w:val="both"/>
        <w:rPr>
          <w:rFonts w:ascii="Arial" w:hAnsi="Arial"/>
          <w:noProof w:val="0"/>
          <w:rtl/>
        </w:rPr>
      </w:pPr>
      <w:r>
        <w:rPr>
          <w:rFonts w:hint="cs"/>
          <w:rtl/>
        </w:rPr>
        <w:t>23.</w:t>
      </w:r>
      <w:r>
        <w:rPr>
          <w:rFonts w:ascii="Arial" w:hAnsi="Arial" w:hint="cs"/>
          <w:noProof w:val="0"/>
          <w:rtl/>
        </w:rPr>
        <w:tab/>
        <w:t>עיון בתשובת המשיב מלמד, כי המשיב רואה, משום מה, את בקשת רשות הערעור של המבקשת כמכוונת להסדר קבע של שהות הקטין במושב</w:t>
      </w:r>
      <w:r w:rsidR="00DB7064">
        <w:rPr>
          <w:rFonts w:ascii="Arial" w:hAnsi="Arial" w:hint="cs"/>
          <w:noProof w:val="0"/>
          <w:rtl/>
        </w:rPr>
        <w:t xml:space="preserve"> </w:t>
      </w:r>
      <w:r>
        <w:rPr>
          <w:rFonts w:ascii="Arial" w:hAnsi="Arial"/>
          <w:noProof w:val="0"/>
          <w:rtl/>
        </w:rPr>
        <w:t>–</w:t>
      </w:r>
      <w:r>
        <w:rPr>
          <w:rFonts w:ascii="Arial" w:hAnsi="Arial" w:hint="cs"/>
          <w:noProof w:val="0"/>
          <w:rtl/>
        </w:rPr>
        <w:t xml:space="preserve"> ואין הדבר כך.</w:t>
      </w:r>
    </w:p>
    <w:p w:rsidR="008263FF" w:rsidRDefault="008263FF" w:rsidP="008263FF">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כפי שפורט בפתח פסק דין זה, </w:t>
      </w:r>
      <w:r>
        <w:rPr>
          <w:rFonts w:hint="cs"/>
          <w:rtl/>
        </w:rPr>
        <w:t xml:space="preserve">בבית משפט קמא תלויות ועומדות הן תביעתה של המבקשת לביטול ההסכם (תה"ס 21782-04-23), והן תביעתו של המשיב לאכיפתו </w:t>
      </w:r>
      <w:r>
        <w:rPr>
          <w:rFonts w:ascii="Arial" w:hAnsi="Arial" w:hint="cs"/>
          <w:noProof w:val="0"/>
          <w:rtl/>
        </w:rPr>
        <w:t xml:space="preserve">(תה"ס 45118-03-23). </w:t>
      </w:r>
    </w:p>
    <w:p w:rsidR="008263FF" w:rsidRDefault="008263FF" w:rsidP="008263FF">
      <w:pPr>
        <w:spacing w:after="120" w:line="360" w:lineRule="auto"/>
        <w:ind w:left="720" w:hanging="720"/>
        <w:jc w:val="both"/>
        <w:rPr>
          <w:rFonts w:ascii="David" w:hAnsi="David"/>
          <w:rtl/>
        </w:rPr>
      </w:pPr>
      <w:r>
        <w:rPr>
          <w:rFonts w:ascii="Arial" w:hAnsi="Arial" w:hint="cs"/>
          <w:noProof w:val="0"/>
          <w:rtl/>
        </w:rPr>
        <w:tab/>
        <w:t xml:space="preserve">על כן, </w:t>
      </w:r>
      <w:r w:rsidRPr="00F154C1">
        <w:rPr>
          <w:rFonts w:ascii="Arial" w:hAnsi="Arial" w:hint="cs"/>
          <w:b/>
          <w:bCs/>
          <w:noProof w:val="0"/>
          <w:rtl/>
        </w:rPr>
        <w:t>עסקינן בהחלטת ביניים</w:t>
      </w:r>
      <w:r>
        <w:rPr>
          <w:rFonts w:ascii="David" w:hAnsi="David"/>
          <w:rtl/>
        </w:rPr>
        <w:t xml:space="preserve">. </w:t>
      </w:r>
    </w:p>
    <w:p w:rsidR="008263FF" w:rsidRPr="003561F5" w:rsidRDefault="008263FF" w:rsidP="008263FF">
      <w:pPr>
        <w:spacing w:after="120" w:line="360" w:lineRule="auto"/>
        <w:ind w:left="720"/>
        <w:jc w:val="both"/>
        <w:rPr>
          <w:rFonts w:ascii="David" w:hAnsi="David"/>
          <w:rtl/>
        </w:rPr>
      </w:pPr>
      <w:r>
        <w:rPr>
          <w:rFonts w:ascii="David" w:hAnsi="David" w:hint="cs"/>
          <w:rtl/>
        </w:rPr>
        <w:t xml:space="preserve">אכן כלל ידוע בפסיקה, כי </w:t>
      </w:r>
      <w:r w:rsidRPr="003561F5">
        <w:rPr>
          <w:rFonts w:ascii="David" w:hAnsi="David"/>
          <w:rtl/>
        </w:rPr>
        <w:t>ערכאת הערעור תתערב בהחלטת ביניים רק כאשר להחלטה נשוא הערעור השפעה רבה על זכויות הצדדים ואם יהיה קשה להביא לתיקון הפגם או שהוא בעל השפעה מכרעת על הדיון.</w:t>
      </w:r>
    </w:p>
    <w:p w:rsidR="008263FF" w:rsidRDefault="008263FF" w:rsidP="008263FF">
      <w:pPr>
        <w:spacing w:after="120" w:line="360" w:lineRule="auto"/>
        <w:ind w:left="720" w:hanging="720"/>
        <w:jc w:val="both"/>
        <w:rPr>
          <w:rFonts w:ascii="David" w:hAnsi="David"/>
          <w:rtl/>
        </w:rPr>
      </w:pPr>
      <w:r>
        <w:rPr>
          <w:rFonts w:ascii="David" w:hAnsi="David"/>
          <w:rtl/>
        </w:rPr>
        <w:tab/>
      </w:r>
      <w:r w:rsidRPr="003561F5">
        <w:rPr>
          <w:rFonts w:ascii="David" w:hAnsi="David" w:hint="cs"/>
          <w:u w:val="single"/>
          <w:rtl/>
        </w:rPr>
        <w:t>ראו לעניין זה</w:t>
      </w:r>
      <w:r>
        <w:rPr>
          <w:rFonts w:ascii="David" w:hAnsi="David" w:hint="cs"/>
          <w:rtl/>
        </w:rPr>
        <w:t>:</w:t>
      </w:r>
    </w:p>
    <w:p w:rsidR="008263FF" w:rsidRPr="003561F5" w:rsidRDefault="008263FF" w:rsidP="008263FF">
      <w:pPr>
        <w:spacing w:after="120" w:line="360" w:lineRule="auto"/>
        <w:ind w:left="720" w:hanging="720"/>
        <w:jc w:val="both"/>
        <w:rPr>
          <w:rFonts w:ascii="David" w:hAnsi="David"/>
          <w:rtl/>
        </w:rPr>
      </w:pPr>
      <w:r>
        <w:rPr>
          <w:rFonts w:ascii="David" w:hAnsi="David"/>
          <w:rtl/>
        </w:rPr>
        <w:tab/>
      </w:r>
      <w:r w:rsidRPr="003561F5">
        <w:rPr>
          <w:rFonts w:ascii="David" w:hAnsi="David"/>
          <w:rtl/>
        </w:rPr>
        <w:t xml:space="preserve">רע"א 7682/06 </w:t>
      </w:r>
      <w:r w:rsidRPr="003561F5">
        <w:rPr>
          <w:rFonts w:ascii="David" w:hAnsi="David"/>
          <w:b/>
          <w:bCs/>
          <w:rtl/>
        </w:rPr>
        <w:t>אליהו חברה לביטוח נ' חיים אלוש</w:t>
      </w:r>
      <w:r>
        <w:rPr>
          <w:rFonts w:ascii="David" w:hAnsi="David"/>
          <w:rtl/>
        </w:rPr>
        <w:t xml:space="preserve"> (25.6.07)</w:t>
      </w:r>
      <w:r>
        <w:rPr>
          <w:rFonts w:ascii="David" w:hAnsi="David" w:hint="cs"/>
          <w:rtl/>
        </w:rPr>
        <w:t>.</w:t>
      </w:r>
    </w:p>
    <w:p w:rsidR="008263FF" w:rsidRDefault="008263FF" w:rsidP="00DB7064">
      <w:pPr>
        <w:spacing w:after="120" w:line="360" w:lineRule="auto"/>
        <w:ind w:left="720" w:hanging="720"/>
        <w:jc w:val="both"/>
        <w:rPr>
          <w:rFonts w:ascii="David" w:hAnsi="David"/>
          <w:rtl/>
        </w:rPr>
      </w:pPr>
      <w:r>
        <w:rPr>
          <w:rFonts w:ascii="David" w:hAnsi="David"/>
          <w:rtl/>
        </w:rPr>
        <w:tab/>
      </w:r>
      <w:r>
        <w:rPr>
          <w:rFonts w:ascii="David" w:hAnsi="David" w:hint="cs"/>
          <w:b/>
          <w:bCs/>
          <w:rtl/>
        </w:rPr>
        <w:t xml:space="preserve">עם זאת במקרה דנן </w:t>
      </w:r>
      <w:r w:rsidRPr="003561F5">
        <w:rPr>
          <w:rFonts w:ascii="David" w:hAnsi="David" w:hint="cs"/>
          <w:b/>
          <w:bCs/>
          <w:rtl/>
        </w:rPr>
        <w:t>סבורני כי אין לדחות את בירור הסוגיה דנן לשלב הערעור על פסק הדין, מאחר שעסקינן בחיי קטין, פעוט כבן שלוש שנים</w:t>
      </w:r>
      <w:r>
        <w:rPr>
          <w:rFonts w:ascii="David" w:hAnsi="David" w:hint="cs"/>
          <w:b/>
          <w:bCs/>
          <w:rtl/>
        </w:rPr>
        <w:t xml:space="preserve"> שכבר מצוי במושב עם אימו מחודש 2/23, כתשעה חודשים, ואף החל את שנת הלימודים הנוכחית במוסד חינוכי שם</w:t>
      </w:r>
      <w:r w:rsidRPr="003561F5">
        <w:rPr>
          <w:rFonts w:ascii="David" w:hAnsi="David" w:hint="cs"/>
          <w:b/>
          <w:bCs/>
          <w:rtl/>
        </w:rPr>
        <w:t>;</w:t>
      </w:r>
      <w:r>
        <w:rPr>
          <w:rFonts w:ascii="David" w:hAnsi="David" w:hint="cs"/>
          <w:rtl/>
        </w:rPr>
        <w:t xml:space="preserve"> </w:t>
      </w:r>
    </w:p>
    <w:p w:rsidR="008263FF" w:rsidRDefault="008263FF" w:rsidP="00DB7064">
      <w:pPr>
        <w:spacing w:after="120" w:line="360" w:lineRule="auto"/>
        <w:ind w:left="720"/>
        <w:jc w:val="both"/>
        <w:rPr>
          <w:rFonts w:ascii="David" w:hAnsi="David"/>
          <w:rtl/>
        </w:rPr>
      </w:pPr>
      <w:r>
        <w:rPr>
          <w:rFonts w:ascii="David" w:hAnsi="David" w:hint="cs"/>
          <w:rtl/>
        </w:rPr>
        <w:t xml:space="preserve">אינני רואה טעם או הצדקה להורות על מעבר הקטין לעיר </w:t>
      </w:r>
      <w:r w:rsidR="00DB7064">
        <w:rPr>
          <w:rFonts w:ascii="David" w:hAnsi="David" w:hint="cs"/>
        </w:rPr>
        <w:t>X</w:t>
      </w:r>
      <w:r>
        <w:rPr>
          <w:rFonts w:ascii="David" w:hAnsi="David" w:hint="cs"/>
          <w:rtl/>
        </w:rPr>
        <w:t xml:space="preserve"> בטרם הכרעה סופית בהליכים הנ"ל, שייתכן שתאשרר את מקום מגוריו הנוכחי </w:t>
      </w:r>
      <w:r w:rsidR="00DB7064">
        <w:rPr>
          <w:rFonts w:ascii="David" w:hAnsi="David" w:hint="cs"/>
          <w:rtl/>
        </w:rPr>
        <w:t>במושב</w:t>
      </w:r>
      <w:r>
        <w:rPr>
          <w:rFonts w:ascii="David" w:hAnsi="David" w:hint="cs"/>
          <w:rtl/>
        </w:rPr>
        <w:t xml:space="preserve">. </w:t>
      </w:r>
    </w:p>
    <w:p w:rsidR="008263FF" w:rsidRPr="003561F5" w:rsidRDefault="008263FF" w:rsidP="008263FF">
      <w:pPr>
        <w:spacing w:after="120" w:line="360" w:lineRule="auto"/>
        <w:ind w:left="720"/>
        <w:jc w:val="both"/>
        <w:rPr>
          <w:rFonts w:ascii="David" w:hAnsi="David"/>
          <w:rtl/>
        </w:rPr>
      </w:pPr>
      <w:r>
        <w:rPr>
          <w:rFonts w:ascii="David" w:hAnsi="David" w:hint="cs"/>
          <w:rtl/>
        </w:rPr>
        <w:lastRenderedPageBreak/>
        <w:t>עם זאת, ככל שבמסגרת פסק הדין בהליכים התלויים בין הצדדים יאכף ההסכם אף לענין מקום מגורי הקטין, תהיה הצדקה למעבר זה, על אי הנוחות שעלולה להיגרם עקב כך לקטין.</w:t>
      </w:r>
    </w:p>
    <w:p w:rsidR="008263FF" w:rsidRDefault="008263FF" w:rsidP="008263FF">
      <w:pPr>
        <w:spacing w:after="120" w:line="360" w:lineRule="auto"/>
        <w:ind w:left="720" w:hanging="720"/>
        <w:jc w:val="both"/>
        <w:rPr>
          <w:rFonts w:ascii="Arial" w:hAnsi="Arial"/>
          <w:noProof w:val="0"/>
          <w:rtl/>
        </w:rPr>
      </w:pPr>
      <w:r w:rsidRPr="003561F5">
        <w:rPr>
          <w:rFonts w:ascii="David" w:hAnsi="David"/>
          <w:rtl/>
        </w:rPr>
        <w:t xml:space="preserve"> </w:t>
      </w:r>
      <w:r>
        <w:rPr>
          <w:rFonts w:ascii="David" w:hAnsi="David" w:hint="cs"/>
          <w:rtl/>
        </w:rPr>
        <w:t>24.</w:t>
      </w:r>
      <w:r>
        <w:rPr>
          <w:rFonts w:ascii="David" w:hAnsi="David" w:hint="cs"/>
          <w:rtl/>
        </w:rPr>
        <w:tab/>
        <w:t xml:space="preserve">לא זו אף זו </w:t>
      </w:r>
      <w:r>
        <w:rPr>
          <w:rFonts w:ascii="David" w:hAnsi="David"/>
          <w:rtl/>
        </w:rPr>
        <w:t>–</w:t>
      </w:r>
      <w:r>
        <w:rPr>
          <w:rFonts w:ascii="David" w:hAnsi="David" w:hint="cs"/>
          <w:rtl/>
        </w:rPr>
        <w:t xml:space="preserve"> </w:t>
      </w:r>
      <w:r>
        <w:rPr>
          <w:rFonts w:ascii="David" w:hAnsi="David"/>
          <w:rtl/>
        </w:rPr>
        <w:t xml:space="preserve"> החלטת ביניים אינה יוצרת מעשה בית דין, ולפיכך </w:t>
      </w:r>
      <w:r>
        <w:rPr>
          <w:rFonts w:ascii="David" w:hAnsi="David" w:hint="cs"/>
          <w:rtl/>
        </w:rPr>
        <w:t xml:space="preserve">ניתן </w:t>
      </w:r>
      <w:r>
        <w:rPr>
          <w:rFonts w:ascii="David" w:hAnsi="David"/>
          <w:rtl/>
        </w:rPr>
        <w:t>לשוב ולדון בה ואף לשנותה.</w:t>
      </w:r>
      <w:r>
        <w:rPr>
          <w:rFonts w:ascii="Arial" w:hAnsi="Arial" w:hint="cs"/>
          <w:noProof w:val="0"/>
          <w:rtl/>
        </w:rPr>
        <w:t xml:space="preserve"> הכרעה בבקשת רשות הערעור כאן, לא תקבע ולא תשפיע על התוצאה הסופית בתיקים העיקריים הנ"ל, הנתונה לשיקול דעתו של בית משפט קמא.</w:t>
      </w:r>
    </w:p>
    <w:p w:rsidR="008263FF" w:rsidRDefault="008263FF" w:rsidP="008263FF">
      <w:pPr>
        <w:spacing w:after="120" w:line="360" w:lineRule="auto"/>
        <w:ind w:left="720" w:hanging="720"/>
        <w:jc w:val="both"/>
        <w:rPr>
          <w:rFonts w:ascii="David" w:hAnsi="David"/>
          <w:rtl/>
        </w:rPr>
      </w:pPr>
      <w:r>
        <w:rPr>
          <w:rFonts w:ascii="Arial" w:hAnsi="Arial"/>
          <w:noProof w:val="0"/>
          <w:rtl/>
        </w:rPr>
        <w:tab/>
      </w:r>
      <w:r>
        <w:rPr>
          <w:rFonts w:ascii="David" w:hAnsi="David"/>
          <w:u w:val="single"/>
          <w:rtl/>
        </w:rPr>
        <w:t>ראו לעניין זה</w:t>
      </w:r>
      <w:r>
        <w:rPr>
          <w:rFonts w:ascii="David" w:hAnsi="David"/>
          <w:rtl/>
        </w:rPr>
        <w:t>:</w:t>
      </w:r>
    </w:p>
    <w:p w:rsidR="008263FF" w:rsidRDefault="008263FF" w:rsidP="008263FF">
      <w:pPr>
        <w:spacing w:after="120" w:line="360" w:lineRule="auto"/>
        <w:ind w:left="720" w:hanging="720"/>
        <w:jc w:val="both"/>
        <w:rPr>
          <w:rFonts w:ascii="David" w:hAnsi="David"/>
          <w:rtl/>
        </w:rPr>
      </w:pPr>
      <w:r>
        <w:rPr>
          <w:rFonts w:ascii="David" w:hAnsi="David"/>
          <w:rtl/>
        </w:rPr>
        <w:tab/>
        <w:t xml:space="preserve">ע"א 3604/02 </w:t>
      </w:r>
      <w:r>
        <w:rPr>
          <w:rFonts w:ascii="David" w:hAnsi="David"/>
          <w:b/>
          <w:bCs/>
          <w:rtl/>
        </w:rPr>
        <w:t>אוקו נ' שמי</w:t>
      </w:r>
      <w:r>
        <w:rPr>
          <w:rFonts w:ascii="David" w:hAnsi="David"/>
          <w:rtl/>
        </w:rPr>
        <w:t>, פ"ד נו(4) 505, 508;</w:t>
      </w:r>
    </w:p>
    <w:p w:rsidR="008263FF" w:rsidRDefault="008263FF" w:rsidP="008263FF">
      <w:pPr>
        <w:spacing w:after="120" w:line="360" w:lineRule="auto"/>
        <w:ind w:left="720" w:hanging="720"/>
        <w:jc w:val="both"/>
        <w:rPr>
          <w:rFonts w:ascii="David" w:hAnsi="David"/>
          <w:rtl/>
        </w:rPr>
      </w:pPr>
      <w:r>
        <w:rPr>
          <w:rFonts w:ascii="David" w:hAnsi="David"/>
          <w:rtl/>
        </w:rPr>
        <w:tab/>
        <w:t xml:space="preserve">רע"א 5560/20 </w:t>
      </w:r>
      <w:r>
        <w:rPr>
          <w:rFonts w:ascii="David" w:hAnsi="David"/>
          <w:b/>
          <w:bCs/>
          <w:rtl/>
        </w:rPr>
        <w:t>מתן דור נ' חוף שלוותה (2002) בע"מ</w:t>
      </w:r>
      <w:r>
        <w:rPr>
          <w:rFonts w:ascii="David" w:hAnsi="David"/>
          <w:rtl/>
        </w:rPr>
        <w:t xml:space="preserve"> (26.11.2020).</w:t>
      </w:r>
    </w:p>
    <w:p w:rsidR="008263FF" w:rsidRDefault="008263FF" w:rsidP="008263FF">
      <w:pPr>
        <w:spacing w:after="120" w:line="360" w:lineRule="auto"/>
        <w:ind w:left="720" w:hanging="720"/>
        <w:jc w:val="both"/>
        <w:rPr>
          <w:rFonts w:ascii="Arial" w:hAnsi="Arial"/>
          <w:noProof w:val="0"/>
          <w:rtl/>
        </w:rPr>
      </w:pPr>
      <w:r>
        <w:rPr>
          <w:rFonts w:ascii="Arial" w:hAnsi="Arial" w:hint="cs"/>
          <w:noProof w:val="0"/>
          <w:rtl/>
        </w:rPr>
        <w:t>25.</w:t>
      </w:r>
      <w:r>
        <w:rPr>
          <w:rFonts w:ascii="Arial" w:hAnsi="Arial" w:hint="cs"/>
          <w:noProof w:val="0"/>
          <w:rtl/>
        </w:rPr>
        <w:tab/>
        <w:t xml:space="preserve">על ההחלטה בשאלת מקום מגורי הקטין, לעלות בקנה אחד עם </w:t>
      </w:r>
      <w:r w:rsidRPr="007E7894">
        <w:rPr>
          <w:rFonts w:ascii="Arial" w:hAnsi="Arial" w:hint="cs"/>
          <w:b/>
          <w:bCs/>
          <w:noProof w:val="0"/>
          <w:rtl/>
        </w:rPr>
        <w:t>טובת הקטין</w:t>
      </w:r>
      <w:r>
        <w:rPr>
          <w:rFonts w:ascii="Arial" w:hAnsi="Arial" w:hint="cs"/>
          <w:noProof w:val="0"/>
          <w:rtl/>
        </w:rPr>
        <w:t xml:space="preserve"> וזו הפריזמה דרכה יש לבחון את העניין שבפנינו.</w:t>
      </w:r>
    </w:p>
    <w:p w:rsidR="008263FF" w:rsidRDefault="008263FF" w:rsidP="008263FF">
      <w:pPr>
        <w:spacing w:after="120" w:line="360" w:lineRule="auto"/>
        <w:ind w:left="720" w:hanging="720"/>
        <w:jc w:val="both"/>
        <w:rPr>
          <w:rFonts w:ascii="Arial" w:hAnsi="Arial"/>
          <w:noProof w:val="0"/>
          <w:rtl/>
        </w:rPr>
      </w:pPr>
      <w:r>
        <w:rPr>
          <w:rFonts w:ascii="Arial" w:hAnsi="Arial"/>
          <w:noProof w:val="0"/>
          <w:rtl/>
        </w:rPr>
        <w:tab/>
      </w:r>
      <w:r w:rsidRPr="00C37CEE">
        <w:rPr>
          <w:rFonts w:ascii="Arial" w:hAnsi="Arial" w:hint="cs"/>
          <w:noProof w:val="0"/>
          <w:u w:val="single"/>
          <w:rtl/>
        </w:rPr>
        <w:t>ראו לעניין זה</w:t>
      </w:r>
      <w:r>
        <w:rPr>
          <w:rFonts w:ascii="Arial" w:hAnsi="Arial" w:hint="cs"/>
          <w:noProof w:val="0"/>
          <w:rtl/>
        </w:rPr>
        <w:t>:</w:t>
      </w:r>
    </w:p>
    <w:p w:rsidR="008263FF" w:rsidRDefault="008263FF" w:rsidP="008263FF">
      <w:pPr>
        <w:spacing w:after="120" w:line="360" w:lineRule="auto"/>
        <w:ind w:left="720" w:hanging="720"/>
        <w:jc w:val="both"/>
        <w:rPr>
          <w:rFonts w:ascii="Arial" w:hAnsi="Arial"/>
          <w:noProof w:val="0"/>
          <w:rtl/>
        </w:rPr>
      </w:pPr>
      <w:r>
        <w:rPr>
          <w:rFonts w:ascii="Arial" w:hAnsi="Arial"/>
          <w:noProof w:val="0"/>
          <w:rtl/>
        </w:rPr>
        <w:tab/>
      </w:r>
      <w:r w:rsidRPr="00C37CEE">
        <w:rPr>
          <w:rFonts w:ascii="Arial" w:hAnsi="Arial"/>
          <w:noProof w:val="0"/>
          <w:rtl/>
        </w:rPr>
        <w:t>רמ</w:t>
      </w:r>
      <w:r>
        <w:rPr>
          <w:rFonts w:ascii="Arial" w:hAnsi="Arial" w:hint="cs"/>
          <w:noProof w:val="0"/>
          <w:rtl/>
        </w:rPr>
        <w:t>"</w:t>
      </w:r>
      <w:r w:rsidRPr="00C37CEE">
        <w:rPr>
          <w:rFonts w:ascii="Arial" w:hAnsi="Arial"/>
          <w:noProof w:val="0"/>
          <w:rtl/>
        </w:rPr>
        <w:t xml:space="preserve">ש (ת"א) 63553-08-21‏ ‏ </w:t>
      </w:r>
      <w:r w:rsidRPr="00C37CEE">
        <w:rPr>
          <w:rFonts w:ascii="Arial" w:hAnsi="Arial"/>
          <w:b/>
          <w:bCs/>
          <w:noProof w:val="0"/>
          <w:rtl/>
        </w:rPr>
        <w:t>ע' א' א' (קטינה) נ' א' א'‏</w:t>
      </w:r>
      <w:r>
        <w:rPr>
          <w:rFonts w:ascii="Arial" w:hAnsi="Arial" w:hint="cs"/>
          <w:noProof w:val="0"/>
          <w:rtl/>
        </w:rPr>
        <w:t xml:space="preserve"> (04.10.2021) סעיפים 5-7 והפסיקה שם;</w:t>
      </w:r>
    </w:p>
    <w:p w:rsidR="008263FF" w:rsidRDefault="008263FF" w:rsidP="008263FF">
      <w:pPr>
        <w:spacing w:after="120" w:line="360" w:lineRule="auto"/>
        <w:ind w:left="720" w:hanging="720"/>
        <w:jc w:val="both"/>
        <w:rPr>
          <w:rFonts w:ascii="Arial" w:hAnsi="Arial"/>
          <w:noProof w:val="0"/>
          <w:rtl/>
        </w:rPr>
      </w:pPr>
      <w:r>
        <w:rPr>
          <w:rFonts w:ascii="Arial" w:hAnsi="Arial"/>
          <w:noProof w:val="0"/>
          <w:rtl/>
        </w:rPr>
        <w:tab/>
      </w:r>
      <w:r w:rsidRPr="00B75DCB">
        <w:rPr>
          <w:rFonts w:ascii="Arial" w:hAnsi="Arial"/>
          <w:noProof w:val="0"/>
          <w:rtl/>
        </w:rPr>
        <w:t>עמ</w:t>
      </w:r>
      <w:r>
        <w:rPr>
          <w:rFonts w:ascii="Arial" w:hAnsi="Arial" w:hint="cs"/>
          <w:noProof w:val="0"/>
          <w:rtl/>
        </w:rPr>
        <w:t>"</w:t>
      </w:r>
      <w:r w:rsidRPr="00B75DCB">
        <w:rPr>
          <w:rFonts w:ascii="Arial" w:hAnsi="Arial"/>
          <w:noProof w:val="0"/>
          <w:rtl/>
        </w:rPr>
        <w:t>ש</w:t>
      </w:r>
      <w:r>
        <w:rPr>
          <w:rFonts w:ascii="Arial" w:hAnsi="Arial" w:hint="cs"/>
          <w:noProof w:val="0"/>
          <w:rtl/>
        </w:rPr>
        <w:t xml:space="preserve"> (חי')</w:t>
      </w:r>
      <w:r w:rsidRPr="00B75DCB">
        <w:rPr>
          <w:rFonts w:ascii="Arial" w:hAnsi="Arial"/>
          <w:noProof w:val="0"/>
          <w:rtl/>
        </w:rPr>
        <w:t xml:space="preserve"> 43787-07-22‏ ‏ </w:t>
      </w:r>
      <w:r w:rsidRPr="00B75DCB">
        <w:rPr>
          <w:rFonts w:ascii="Arial" w:hAnsi="Arial"/>
          <w:b/>
          <w:bCs/>
          <w:noProof w:val="0"/>
          <w:rtl/>
        </w:rPr>
        <w:t>א' נ' ב'</w:t>
      </w:r>
      <w:r w:rsidRPr="00B75DCB">
        <w:rPr>
          <w:rFonts w:ascii="Arial" w:hAnsi="Arial"/>
          <w:noProof w:val="0"/>
          <w:rtl/>
        </w:rPr>
        <w:t>‏</w:t>
      </w:r>
      <w:r>
        <w:rPr>
          <w:rFonts w:ascii="Arial" w:hAnsi="Arial" w:hint="cs"/>
          <w:noProof w:val="0"/>
          <w:rtl/>
        </w:rPr>
        <w:t xml:space="preserve"> (22.8.2022), פסקה 15.</w:t>
      </w:r>
    </w:p>
    <w:p w:rsidR="008263FF" w:rsidRDefault="008263FF" w:rsidP="00DB7064">
      <w:pPr>
        <w:spacing w:after="120" w:line="360" w:lineRule="auto"/>
        <w:ind w:left="720" w:hanging="720"/>
        <w:jc w:val="both"/>
        <w:rPr>
          <w:rFonts w:ascii="Arial" w:hAnsi="Arial"/>
          <w:noProof w:val="0"/>
          <w:rtl/>
        </w:rPr>
      </w:pPr>
      <w:r>
        <w:rPr>
          <w:rFonts w:ascii="Arial" w:hAnsi="Arial" w:hint="cs"/>
          <w:noProof w:val="0"/>
          <w:rtl/>
        </w:rPr>
        <w:t>26.</w:t>
      </w:r>
      <w:r>
        <w:rPr>
          <w:rFonts w:ascii="Arial" w:hAnsi="Arial" w:hint="cs"/>
          <w:noProof w:val="0"/>
          <w:rtl/>
        </w:rPr>
        <w:tab/>
        <w:t>אכן, קיים הסכם בין הצדדים והוא אף אושר בבית משפט קמא, אולם כעת שאלת אכיפת ההסכם או ביטולו עומדת בפני בית משפט קמא; בינתיים המבקשת והקטין עברו לבית הורי המבקשת במושב, למצער באישורו הראשוני של המשיב, והם מתגוררים שם כאמור כתשעה חודשים. הקטין אף נרשם לגן במושב בפתח שנת הלימודים הנוכחית; לטעמי מעבר כעת לגן חדש ולדירה חדשה יקשו על הקטין שלא לצורך.</w:t>
      </w:r>
    </w:p>
    <w:p w:rsidR="008263FF" w:rsidRDefault="008263FF" w:rsidP="008263FF">
      <w:pPr>
        <w:spacing w:after="120" w:line="360" w:lineRule="auto"/>
        <w:ind w:left="720" w:hanging="720"/>
        <w:jc w:val="both"/>
        <w:rPr>
          <w:rFonts w:ascii="Arial" w:hAnsi="Arial"/>
          <w:noProof w:val="0"/>
          <w:rtl/>
        </w:rPr>
      </w:pPr>
      <w:r>
        <w:rPr>
          <w:rFonts w:ascii="Arial" w:hAnsi="Arial" w:hint="cs"/>
          <w:noProof w:val="0"/>
          <w:rtl/>
        </w:rPr>
        <w:t>27.</w:t>
      </w:r>
      <w:r>
        <w:rPr>
          <w:rFonts w:ascii="Arial" w:hAnsi="Arial" w:hint="cs"/>
          <w:noProof w:val="0"/>
          <w:rtl/>
        </w:rPr>
        <w:tab/>
        <w:t>בפסק הדין של ערכאת הערעור (ראו סעיף 11 לעיל), עמד השופט ג'יוסי על החזרת העניין לבית משפט קמא, על מנת שזה יבדוק את מצבה הכלכלי של המבקשת, מחמת ספקות שעלו בקרבו, ה</w:t>
      </w:r>
      <w:r w:rsidR="00DB7064">
        <w:rPr>
          <w:rFonts w:ascii="Arial" w:hAnsi="Arial" w:hint="cs"/>
          <w:noProof w:val="0"/>
          <w:rtl/>
        </w:rPr>
        <w:t>אם תהיה מסוגלת המבקשת לשוב ל-</w:t>
      </w:r>
      <w:r w:rsidR="00DB7064">
        <w:rPr>
          <w:rFonts w:ascii="Arial" w:hAnsi="Arial" w:hint="cs"/>
          <w:noProof w:val="0"/>
        </w:rPr>
        <w:t>X</w:t>
      </w:r>
      <w:r>
        <w:rPr>
          <w:rFonts w:ascii="Arial" w:hAnsi="Arial" w:hint="cs"/>
          <w:noProof w:val="0"/>
          <w:rtl/>
        </w:rPr>
        <w:t xml:space="preserve">. </w:t>
      </w:r>
    </w:p>
    <w:p w:rsidR="008263FF" w:rsidRDefault="008263FF" w:rsidP="00DB7064">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השופטת קמא אכן התייחסה לאמור בפסק דינו של השופט ג'יוסי, וערכה בדיקה באשר ליכולתה הכלכלית (אם כי תיאורטית-מה, כל עוד המבקשת איננה עובדת בפועל) של המבקשת, </w:t>
      </w:r>
      <w:r w:rsidRPr="00B75DCB">
        <w:rPr>
          <w:rFonts w:ascii="Arial" w:hAnsi="Arial" w:hint="cs"/>
          <w:b/>
          <w:bCs/>
          <w:noProof w:val="0"/>
          <w:rtl/>
        </w:rPr>
        <w:t>אולם לא שוכנעתי עד תום</w:t>
      </w:r>
      <w:r>
        <w:rPr>
          <w:rFonts w:ascii="Arial" w:hAnsi="Arial" w:hint="cs"/>
          <w:b/>
          <w:bCs/>
          <w:noProof w:val="0"/>
          <w:rtl/>
        </w:rPr>
        <w:t xml:space="preserve"> מקביעותיו של בית משפט קמא,</w:t>
      </w:r>
      <w:r w:rsidRPr="00B75DCB">
        <w:rPr>
          <w:rFonts w:ascii="Arial" w:hAnsi="Arial" w:hint="cs"/>
          <w:b/>
          <w:bCs/>
          <w:noProof w:val="0"/>
          <w:rtl/>
        </w:rPr>
        <w:t xml:space="preserve"> כי אכן י</w:t>
      </w:r>
      <w:r>
        <w:rPr>
          <w:rFonts w:ascii="Arial" w:hAnsi="Arial" w:hint="cs"/>
          <w:b/>
          <w:bCs/>
          <w:noProof w:val="0"/>
          <w:rtl/>
        </w:rPr>
        <w:t xml:space="preserve">תאפשר </w:t>
      </w:r>
      <w:r w:rsidRPr="00B75DCB">
        <w:rPr>
          <w:rFonts w:ascii="Arial" w:hAnsi="Arial" w:hint="cs"/>
          <w:b/>
          <w:bCs/>
          <w:noProof w:val="0"/>
          <w:rtl/>
        </w:rPr>
        <w:t xml:space="preserve">למבקשת לחיות ולהתקיים בתנאים מינימליים בעיר </w:t>
      </w:r>
      <w:r w:rsidR="00DB7064">
        <w:rPr>
          <w:rFonts w:ascii="Arial" w:hAnsi="Arial" w:hint="cs"/>
          <w:b/>
          <w:bCs/>
          <w:noProof w:val="0"/>
        </w:rPr>
        <w:t>X</w:t>
      </w:r>
      <w:r w:rsidRPr="00B75DCB">
        <w:rPr>
          <w:rFonts w:ascii="Arial" w:hAnsi="Arial" w:hint="cs"/>
          <w:b/>
          <w:bCs/>
          <w:noProof w:val="0"/>
          <w:rtl/>
        </w:rPr>
        <w:t>, ללא תמיכת משפחתה, ואף בשים לב כי היא מגדלת לבדה קטינה נוספת</w:t>
      </w:r>
      <w:r>
        <w:rPr>
          <w:rFonts w:ascii="Arial" w:hAnsi="Arial" w:hint="cs"/>
          <w:noProof w:val="0"/>
          <w:rtl/>
        </w:rPr>
        <w:t xml:space="preserve">. </w:t>
      </w:r>
    </w:p>
    <w:p w:rsidR="008263FF" w:rsidRDefault="008263FF" w:rsidP="008263FF">
      <w:pPr>
        <w:spacing w:after="120"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t xml:space="preserve">ודוק </w:t>
      </w:r>
      <w:r>
        <w:rPr>
          <w:rFonts w:ascii="Arial" w:hAnsi="Arial"/>
          <w:noProof w:val="0"/>
          <w:rtl/>
        </w:rPr>
        <w:t>–</w:t>
      </w:r>
      <w:r>
        <w:rPr>
          <w:rFonts w:ascii="Arial" w:hAnsi="Arial" w:hint="cs"/>
          <w:noProof w:val="0"/>
          <w:rtl/>
        </w:rPr>
        <w:t xml:space="preserve"> ציין השופט ג'יוסי בפסק דינו, ברחל בתך הקטנה, כי על בית משפט קמא ליתן דעתו אף על הא</w:t>
      </w:r>
      <w:r w:rsidR="00DB7064">
        <w:rPr>
          <w:rFonts w:ascii="Arial" w:hAnsi="Arial" w:hint="cs"/>
          <w:noProof w:val="0"/>
          <w:rtl/>
        </w:rPr>
        <w:t>פשרות של המבקשת לכלכל עצמה ב-</w:t>
      </w:r>
      <w:r w:rsidR="00DB7064">
        <w:rPr>
          <w:rFonts w:ascii="Arial" w:hAnsi="Arial" w:hint="cs"/>
          <w:noProof w:val="0"/>
        </w:rPr>
        <w:t>X</w:t>
      </w:r>
      <w:r>
        <w:rPr>
          <w:rFonts w:ascii="Arial" w:hAnsi="Arial" w:hint="cs"/>
          <w:noProof w:val="0"/>
          <w:rtl/>
        </w:rPr>
        <w:t xml:space="preserve"> "</w:t>
      </w:r>
      <w:r w:rsidRPr="003B5412">
        <w:rPr>
          <w:rFonts w:ascii="David" w:eastAsia="Calibri" w:hAnsi="David"/>
          <w:b/>
          <w:bCs/>
          <w:noProof w:val="0"/>
          <w:rtl/>
        </w:rPr>
        <w:t>ללא אותה עזרה המתקבלת מהוריה במגוריה אצלם</w:t>
      </w:r>
      <w:r>
        <w:rPr>
          <w:rFonts w:ascii="David" w:eastAsia="Calibri" w:hAnsi="David" w:hint="cs"/>
          <w:b/>
          <w:bCs/>
          <w:noProof w:val="0"/>
          <w:rtl/>
        </w:rPr>
        <w:t>"</w:t>
      </w:r>
      <w:r w:rsidRPr="00B33166">
        <w:rPr>
          <w:rFonts w:ascii="David" w:eastAsia="Calibri" w:hAnsi="David"/>
          <w:noProof w:val="0"/>
          <w:rtl/>
        </w:rPr>
        <w:t>.</w:t>
      </w:r>
      <w:r w:rsidRPr="003B5412">
        <w:rPr>
          <w:rFonts w:ascii="David" w:eastAsia="Calibri" w:hAnsi="David"/>
          <w:b/>
          <w:bCs/>
          <w:noProof w:val="0"/>
          <w:rtl/>
        </w:rPr>
        <w:t xml:space="preserve"> </w:t>
      </w:r>
      <w:r w:rsidRPr="00B33166">
        <w:rPr>
          <w:rFonts w:ascii="David" w:eastAsia="Calibri" w:hAnsi="David" w:hint="cs"/>
          <w:noProof w:val="0"/>
          <w:rtl/>
        </w:rPr>
        <w:t>וכן</w:t>
      </w:r>
      <w:r>
        <w:rPr>
          <w:rFonts w:ascii="David" w:eastAsia="Calibri" w:hAnsi="David" w:hint="cs"/>
          <w:noProof w:val="0"/>
          <w:rtl/>
        </w:rPr>
        <w:t xml:space="preserve"> לבחון</w:t>
      </w:r>
      <w:r>
        <w:rPr>
          <w:rFonts w:ascii="David" w:eastAsia="Calibri" w:hAnsi="David" w:hint="cs"/>
          <w:b/>
          <w:bCs/>
          <w:noProof w:val="0"/>
          <w:rtl/>
        </w:rPr>
        <w:t xml:space="preserve"> "</w:t>
      </w:r>
      <w:r w:rsidRPr="003B5412">
        <w:rPr>
          <w:rFonts w:ascii="David" w:eastAsia="Calibri" w:hAnsi="David"/>
          <w:b/>
          <w:bCs/>
          <w:noProof w:val="0"/>
          <w:rtl/>
        </w:rPr>
        <w:t>האם הדבר עולה בקנה אחד עם טובת הקטין וכן יתן דעתו לשאלות נוספות וקשורות שיתעוררו</w:t>
      </w:r>
      <w:r>
        <w:rPr>
          <w:rFonts w:ascii="Arial" w:hAnsi="Arial" w:hint="cs"/>
          <w:noProof w:val="0"/>
          <w:rtl/>
        </w:rPr>
        <w:t>" (סעיף 23 לפסק הדין).</w:t>
      </w:r>
    </w:p>
    <w:p w:rsidR="008263FF" w:rsidRDefault="008263FF" w:rsidP="00DB7064">
      <w:pPr>
        <w:spacing w:after="120" w:line="360" w:lineRule="auto"/>
        <w:ind w:left="720" w:hanging="720"/>
        <w:jc w:val="both"/>
        <w:rPr>
          <w:rFonts w:ascii="Arial" w:hAnsi="Arial"/>
          <w:noProof w:val="0"/>
          <w:rtl/>
        </w:rPr>
      </w:pPr>
      <w:r>
        <w:rPr>
          <w:rFonts w:ascii="Arial" w:hAnsi="Arial"/>
          <w:noProof w:val="0"/>
          <w:rtl/>
        </w:rPr>
        <w:tab/>
      </w:r>
      <w:r>
        <w:rPr>
          <w:rFonts w:ascii="Arial" w:hAnsi="Arial" w:hint="cs"/>
          <w:noProof w:val="0"/>
          <w:rtl/>
        </w:rPr>
        <w:t xml:space="preserve">מעבר לעניין הכלכלי, שעליו להוסיף ולהתברר לעומק וביתר שאת (אף לנוכח טענות המבקשת בנושא זה), סבורני כי קיים עניין התמיכה המשפחתית שתילקח מהמבקשת, עורף איתן שיסייע לה לגדל את הקטין </w:t>
      </w:r>
      <w:r>
        <w:rPr>
          <w:rFonts w:ascii="Arial" w:hAnsi="Arial" w:hint="cs"/>
          <w:noProof w:val="0"/>
          <w:rtl/>
        </w:rPr>
        <w:lastRenderedPageBreak/>
        <w:t xml:space="preserve">בביטחון ולצאת לשוק העבודה </w:t>
      </w:r>
      <w:r>
        <w:rPr>
          <w:rFonts w:ascii="Arial" w:hAnsi="Arial"/>
          <w:noProof w:val="0"/>
          <w:rtl/>
        </w:rPr>
        <w:t>–</w:t>
      </w:r>
      <w:r>
        <w:rPr>
          <w:rFonts w:ascii="Arial" w:hAnsi="Arial" w:hint="cs"/>
          <w:noProof w:val="0"/>
          <w:rtl/>
        </w:rPr>
        <w:t xml:space="preserve"> לא ראיתי כל התייחסות בהחלטה קמא לנקודה זו, שיש בה "להטות הכף" לכיוון הישארות המבקשת והקטין במושב, לפחות בשלב ביניים זה של ההליכים התלויים ועומדים בין הצדדים.</w:t>
      </w:r>
    </w:p>
    <w:p w:rsidR="008263FF" w:rsidRPr="008677AC" w:rsidRDefault="008263FF" w:rsidP="00DB7064">
      <w:pPr>
        <w:spacing w:after="120" w:line="360" w:lineRule="auto"/>
        <w:ind w:left="720" w:hanging="720"/>
        <w:jc w:val="both"/>
        <w:rPr>
          <w:rFonts w:ascii="Arial" w:hAnsi="Arial"/>
          <w:noProof w:val="0"/>
          <w:rtl/>
        </w:rPr>
      </w:pPr>
      <w:r>
        <w:rPr>
          <w:rFonts w:ascii="Arial" w:hAnsi="Arial" w:hint="cs"/>
          <w:noProof w:val="0"/>
          <w:rtl/>
        </w:rPr>
        <w:t>29.</w:t>
      </w:r>
      <w:r>
        <w:rPr>
          <w:rFonts w:ascii="Arial" w:hAnsi="Arial" w:hint="cs"/>
          <w:noProof w:val="0"/>
          <w:rtl/>
        </w:rPr>
        <w:tab/>
        <w:t>לטעמי זמני השהות שנקבעו בהחלטה קמא מתאימים ומסתדרים עם המשך מגורי המבקשת והקטין במושב. לא ראיתי כי מי מהצדדים ביקש לערער על רכיב זה בהחלטה קמא, ואני מניח כי הקביעות בעניין זמני השהות (המרוכזים סביב סופי השבוע) מקובלות על שני הצדדים, ויטיבו עמם ועם והקטין.</w:t>
      </w:r>
    </w:p>
    <w:p w:rsidR="008263FF" w:rsidRDefault="008263FF" w:rsidP="008263FF">
      <w:pPr>
        <w:spacing w:after="120" w:line="360" w:lineRule="auto"/>
        <w:ind w:left="720" w:hanging="720"/>
        <w:jc w:val="both"/>
        <w:rPr>
          <w:rFonts w:ascii="David" w:hAnsi="David"/>
          <w:b/>
          <w:bCs/>
          <w:u w:val="single"/>
          <w:rtl/>
        </w:rPr>
      </w:pPr>
    </w:p>
    <w:p w:rsidR="008263FF" w:rsidRPr="009B0CD0" w:rsidRDefault="008263FF" w:rsidP="008263FF">
      <w:pPr>
        <w:spacing w:after="120" w:line="360" w:lineRule="auto"/>
        <w:ind w:left="720" w:hanging="720"/>
        <w:jc w:val="both"/>
        <w:rPr>
          <w:rFonts w:ascii="David" w:hAnsi="David"/>
          <w:b/>
          <w:bCs/>
          <w:u w:val="single"/>
          <w:rtl/>
        </w:rPr>
      </w:pPr>
      <w:r w:rsidRPr="00ED4974">
        <w:rPr>
          <w:rFonts w:ascii="David" w:hAnsi="David" w:hint="cs"/>
          <w:b/>
          <w:bCs/>
          <w:u w:val="single"/>
          <w:rtl/>
        </w:rPr>
        <w:t>סוף דבר</w:t>
      </w:r>
    </w:p>
    <w:p w:rsidR="008263FF" w:rsidRDefault="008263FF" w:rsidP="00DB7064">
      <w:pPr>
        <w:spacing w:after="120" w:line="360" w:lineRule="auto"/>
        <w:ind w:left="720" w:hanging="720"/>
        <w:jc w:val="both"/>
        <w:rPr>
          <w:rFonts w:ascii="David" w:hAnsi="David"/>
          <w:b/>
          <w:bCs/>
          <w:rtl/>
        </w:rPr>
      </w:pPr>
      <w:r>
        <w:rPr>
          <w:rFonts w:ascii="David" w:hAnsi="David" w:hint="cs"/>
          <w:rtl/>
        </w:rPr>
        <w:t>30.</w:t>
      </w:r>
      <w:r>
        <w:rPr>
          <w:rFonts w:ascii="David" w:hAnsi="David" w:hint="cs"/>
          <w:rtl/>
        </w:rPr>
        <w:tab/>
      </w:r>
      <w:r w:rsidRPr="00BE5898">
        <w:rPr>
          <w:rFonts w:ascii="David" w:hAnsi="David" w:hint="cs"/>
          <w:b/>
          <w:bCs/>
          <w:rtl/>
        </w:rPr>
        <w:t xml:space="preserve">במצב דברים זה, החלטתי לקבל הערעור </w:t>
      </w:r>
      <w:r>
        <w:rPr>
          <w:rFonts w:ascii="David" w:hAnsi="David" w:hint="cs"/>
          <w:b/>
          <w:bCs/>
          <w:rtl/>
        </w:rPr>
        <w:t xml:space="preserve">ולהורות על ביטול חיוב המבקשת לעבור לגור בעיר </w:t>
      </w:r>
      <w:r w:rsidR="00DB7064">
        <w:rPr>
          <w:rFonts w:ascii="David" w:hAnsi="David" w:hint="cs"/>
          <w:b/>
          <w:bCs/>
        </w:rPr>
        <w:t>X</w:t>
      </w:r>
      <w:r>
        <w:rPr>
          <w:rFonts w:ascii="David" w:hAnsi="David" w:hint="cs"/>
          <w:b/>
          <w:bCs/>
          <w:rtl/>
        </w:rPr>
        <w:t>, עד להכרעה בהליכים קמא</w:t>
      </w:r>
      <w:r w:rsidR="00F65CF0">
        <w:rPr>
          <w:rFonts w:ascii="David" w:hAnsi="David" w:hint="cs"/>
          <w:b/>
          <w:bCs/>
          <w:rtl/>
        </w:rPr>
        <w:t xml:space="preserve"> התלויים ועומדים בין הצדדים כמפורט בסעיפים 4-5 לעיל</w:t>
      </w:r>
      <w:r>
        <w:rPr>
          <w:rFonts w:ascii="David" w:hAnsi="David" w:hint="cs"/>
          <w:b/>
          <w:bCs/>
          <w:rtl/>
        </w:rPr>
        <w:t>, שישפיעו במישרין על הענין.</w:t>
      </w:r>
    </w:p>
    <w:p w:rsidR="008263FF" w:rsidRDefault="008263FF" w:rsidP="008263FF">
      <w:pPr>
        <w:spacing w:after="120" w:line="360" w:lineRule="auto"/>
        <w:ind w:left="720" w:hanging="720"/>
        <w:jc w:val="both"/>
        <w:rPr>
          <w:rFonts w:ascii="David" w:hAnsi="David"/>
          <w:rtl/>
        </w:rPr>
      </w:pPr>
      <w:r w:rsidRPr="00B72FF5">
        <w:rPr>
          <w:rFonts w:ascii="David" w:hAnsi="David" w:hint="cs"/>
          <w:rtl/>
        </w:rPr>
        <w:t>31.</w:t>
      </w:r>
      <w:r>
        <w:rPr>
          <w:rFonts w:ascii="David" w:hAnsi="David" w:hint="cs"/>
          <w:b/>
          <w:bCs/>
          <w:rtl/>
        </w:rPr>
        <w:tab/>
        <w:t>אין באמור בפסק דין זה להביע משום דעה באשר לתוצאותיהם הסופיות של ההליכים קמא.</w:t>
      </w:r>
    </w:p>
    <w:p w:rsidR="008263FF" w:rsidRDefault="008263FF" w:rsidP="008263FF">
      <w:pPr>
        <w:spacing w:after="120" w:line="360" w:lineRule="auto"/>
        <w:ind w:left="720" w:hanging="720"/>
        <w:jc w:val="both"/>
        <w:rPr>
          <w:rFonts w:ascii="David" w:hAnsi="David"/>
          <w:rtl/>
        </w:rPr>
      </w:pPr>
      <w:r>
        <w:rPr>
          <w:rFonts w:ascii="David" w:hAnsi="David"/>
          <w:rtl/>
        </w:rPr>
        <w:tab/>
      </w:r>
      <w:r>
        <w:rPr>
          <w:rFonts w:ascii="David" w:hAnsi="David" w:hint="cs"/>
          <w:rtl/>
        </w:rPr>
        <w:t>מצופה כי לנוכח הנסיבות, יעשה בית משפט קמא מאמץ לשמוע את התיקים התויים ועומדים בין הצדדים בהקדם.</w:t>
      </w:r>
    </w:p>
    <w:p w:rsidR="008263FF" w:rsidRDefault="008263FF" w:rsidP="008263FF">
      <w:pPr>
        <w:spacing w:after="120" w:line="360" w:lineRule="auto"/>
        <w:ind w:left="720" w:hanging="720"/>
        <w:jc w:val="both"/>
        <w:rPr>
          <w:rFonts w:ascii="David" w:hAnsi="David"/>
          <w:rtl/>
        </w:rPr>
      </w:pPr>
      <w:r>
        <w:rPr>
          <w:rFonts w:ascii="David" w:hAnsi="David" w:hint="cs"/>
          <w:rtl/>
        </w:rPr>
        <w:t>32.</w:t>
      </w:r>
      <w:r>
        <w:rPr>
          <w:rFonts w:ascii="David" w:hAnsi="David" w:hint="cs"/>
          <w:rtl/>
        </w:rPr>
        <w:tab/>
        <w:t>בנסיבות העניין ולנוכח העובדה כי גם התנהלותה של המבקשת בנדון אינה נקייה מספקות, איני עושה צו להוצאות.</w:t>
      </w:r>
    </w:p>
    <w:p w:rsidR="008263FF" w:rsidRDefault="008263FF" w:rsidP="008263FF">
      <w:pPr>
        <w:spacing w:after="120" w:line="360" w:lineRule="auto"/>
        <w:ind w:left="720" w:hanging="720"/>
        <w:jc w:val="both"/>
        <w:rPr>
          <w:rFonts w:ascii="David" w:hAnsi="David"/>
          <w:rtl/>
        </w:rPr>
      </w:pPr>
      <w:r>
        <w:rPr>
          <w:rFonts w:ascii="David" w:hAnsi="David"/>
          <w:rtl/>
        </w:rPr>
        <w:tab/>
      </w:r>
      <w:r>
        <w:rPr>
          <w:rFonts w:ascii="David" w:hAnsi="David" w:hint="cs"/>
          <w:rtl/>
        </w:rPr>
        <w:t>הערבון שהופקד על ידי המבקשת יוחזר לידיה, באמצעות באת כוחה.</w:t>
      </w:r>
    </w:p>
    <w:p w:rsidR="008263FF" w:rsidRPr="00BE5898" w:rsidRDefault="008263FF" w:rsidP="008263FF">
      <w:pPr>
        <w:spacing w:after="120" w:line="360" w:lineRule="auto"/>
        <w:ind w:left="720" w:hanging="720"/>
        <w:jc w:val="both"/>
        <w:rPr>
          <w:rFonts w:ascii="David" w:hAnsi="David"/>
          <w:b/>
          <w:bCs/>
          <w:rtl/>
        </w:rPr>
      </w:pPr>
    </w:p>
    <w:p w:rsidR="008263FF" w:rsidRDefault="008263FF" w:rsidP="008263FF">
      <w:pPr>
        <w:spacing w:line="360" w:lineRule="auto"/>
        <w:ind w:left="720" w:hanging="720"/>
        <w:jc w:val="both"/>
        <w:rPr>
          <w:rFonts w:ascii="David" w:hAnsi="David"/>
          <w:b/>
          <w:bCs/>
          <w:rtl/>
        </w:rPr>
      </w:pPr>
      <w:r w:rsidRPr="00BE5898">
        <w:rPr>
          <w:rFonts w:ascii="David" w:hAnsi="David" w:hint="cs"/>
          <w:b/>
          <w:bCs/>
          <w:rtl/>
        </w:rPr>
        <w:t>המזכירות תעביר פסק דין זה לצדדים.</w:t>
      </w:r>
    </w:p>
    <w:p w:rsidR="008263FF" w:rsidRPr="00BE5898" w:rsidRDefault="008263FF" w:rsidP="008263FF">
      <w:pPr>
        <w:spacing w:after="120" w:line="360" w:lineRule="auto"/>
        <w:ind w:left="720" w:hanging="720"/>
        <w:jc w:val="both"/>
        <w:rPr>
          <w:rFonts w:ascii="David" w:hAnsi="David"/>
          <w:b/>
          <w:bCs/>
          <w:rtl/>
        </w:rPr>
      </w:pPr>
    </w:p>
    <w:p w:rsidR="00694556" w:rsidRPr="00C770E3" w:rsidRDefault="008263FF" w:rsidP="008263FF">
      <w:pPr>
        <w:spacing w:after="120" w:line="360" w:lineRule="auto"/>
        <w:ind w:left="720" w:hanging="720"/>
        <w:jc w:val="both"/>
        <w:rPr>
          <w:rFonts w:ascii="Arial" w:hAnsi="Arial"/>
          <w:noProof w:val="0"/>
          <w:rtl/>
        </w:rPr>
      </w:pPr>
      <w:r w:rsidRPr="00BE5898">
        <w:rPr>
          <w:rFonts w:ascii="David" w:hAnsi="David" w:hint="cs"/>
          <w:b/>
          <w:bCs/>
          <w:rtl/>
        </w:rPr>
        <w:t xml:space="preserve">פסק דין זה מותר לפרסום לאחר השמטת שמות הצדדים, וכל פרט מזהה אחר. </w:t>
      </w:r>
    </w:p>
    <w:p w:rsidR="00694556" w:rsidRPr="00C770E3" w:rsidRDefault="00694556">
      <w:pPr>
        <w:spacing w:line="360" w:lineRule="auto"/>
        <w:jc w:val="both"/>
        <w:rPr>
          <w:rFonts w:ascii="Arial" w:hAnsi="Arial"/>
          <w:noProof w:val="0"/>
          <w:rtl/>
        </w:rPr>
      </w:pPr>
    </w:p>
    <w:p w:rsidR="00C43648" w:rsidRDefault="0043502B" w:rsidP="008263FF">
      <w:pPr>
        <w:spacing w:line="360" w:lineRule="auto"/>
        <w:jc w:val="both"/>
        <w:rPr>
          <w:rtl/>
        </w:rPr>
      </w:pPr>
      <w:r>
        <w:rPr>
          <w:rFonts w:ascii="Arial" w:hAnsi="Arial"/>
          <w:noProof w:val="0"/>
          <w:rtl/>
        </w:rPr>
        <w:t>נית</w:t>
      </w:r>
      <w:r w:rsidR="00860102">
        <w:rPr>
          <w:rFonts w:ascii="Arial" w:hAnsi="Arial" w:hint="cs"/>
          <w:noProof w:val="0"/>
          <w:rtl/>
        </w:rPr>
        <w:t>ן</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חשוון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06 נובמבר 2023</w:t>
          </w:r>
        </w:sdtContent>
      </w:sdt>
      <w:r w:rsidR="00005C8B">
        <w:rPr>
          <w:rFonts w:ascii="Arial" w:hAnsi="Arial"/>
          <w:noProof w:val="0"/>
          <w:rtl/>
        </w:rPr>
        <w:t>, בהעדר הצדדים.</w:t>
      </w: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1387909413"/>
        </w:sdtPr>
        <w:sdtEndPr/>
        <w:sdtContent>
          <w:r w:rsidR="003B4F12">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8263FF">
      <w:headerReference w:type="default" r:id="rId10"/>
      <w:footerReference w:type="default" r:id="rId11"/>
      <w:pgSz w:w="11907" w:h="16840" w:code="9"/>
      <w:pgMar w:top="1440" w:right="992" w:bottom="1440" w:left="1276"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487" w:rsidRDefault="00627487">
      <w:r>
        <w:separator/>
      </w:r>
    </w:p>
  </w:endnote>
  <w:endnote w:type="continuationSeparator" w:id="0">
    <w:p w:rsidR="00627487" w:rsidRDefault="006274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82CE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82CEA">
      <w:rPr>
        <w:rStyle w:val="ab"/>
        <w:rtl/>
      </w:rPr>
      <w:t>9</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487" w:rsidRDefault="00627487">
      <w:r>
        <w:separator/>
      </w:r>
    </w:p>
  </w:footnote>
  <w:footnote w:type="continuationSeparator" w:id="0">
    <w:p w:rsidR="00627487" w:rsidRDefault="006274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5"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8263FF" w:rsidRDefault="00627487" w:rsidP="00B20B0F">
          <w:pPr>
            <w:rPr>
              <w:b/>
              <w:bCs/>
              <w:noProof w:val="0"/>
              <w:sz w:val="26"/>
              <w:szCs w:val="26"/>
              <w:rtl/>
            </w:rPr>
          </w:pPr>
          <w:sdt>
            <w:sdtPr>
              <w:rPr>
                <w:rtl/>
              </w:rPr>
              <w:alias w:val="1170"/>
              <w:tag w:val="1170"/>
              <w:id w:val="1066377040"/>
              <w:text w:multiLine="1"/>
            </w:sdtPr>
            <w:sdtEndPr/>
            <w:sdtContent>
              <w:r w:rsidR="00DA2495">
                <w:rPr>
                  <w:b/>
                  <w:bCs/>
                  <w:noProof w:val="0"/>
                  <w:sz w:val="26"/>
                  <w:szCs w:val="26"/>
                  <w:rtl/>
                </w:rPr>
                <w:t>רמ"ש</w:t>
              </w:r>
            </w:sdtContent>
          </w:sdt>
          <w:r w:rsidR="00005C8B">
            <w:rPr>
              <w:b/>
              <w:bCs/>
              <w:noProof w:val="0"/>
              <w:sz w:val="26"/>
              <w:szCs w:val="26"/>
              <w:rtl/>
            </w:rPr>
            <w:t xml:space="preserve"> </w:t>
          </w:r>
          <w:sdt>
            <w:sdtPr>
              <w:rPr>
                <w:rtl/>
              </w:rPr>
              <w:alias w:val="1171"/>
              <w:tag w:val="1171"/>
              <w:id w:val="257034231"/>
              <w:text w:multiLine="1"/>
            </w:sdtPr>
            <w:sdtEndPr/>
            <w:sdtContent>
              <w:r w:rsidR="00DA2495">
                <w:rPr>
                  <w:b/>
                  <w:bCs/>
                  <w:noProof w:val="0"/>
                  <w:sz w:val="26"/>
                  <w:szCs w:val="26"/>
                  <w:rtl/>
                </w:rPr>
                <w:t>23669-10-23</w:t>
              </w:r>
            </w:sdtContent>
          </w:sdt>
          <w:r w:rsidR="00005C8B">
            <w:rPr>
              <w:b/>
              <w:bCs/>
              <w:noProof w:val="0"/>
              <w:sz w:val="26"/>
              <w:szCs w:val="26"/>
              <w:rtl/>
            </w:rPr>
            <w:t xml:space="preserve"> </w:t>
          </w:r>
          <w:sdt>
            <w:sdtPr>
              <w:rPr>
                <w:b/>
                <w:bCs/>
                <w:noProof w:val="0"/>
                <w:sz w:val="26"/>
                <w:szCs w:val="26"/>
                <w:rtl/>
              </w:rPr>
              <w:alias w:val="3154"/>
              <w:tag w:val="3154"/>
              <w:id w:val="-1285889662"/>
              <w:placeholder>
                <w:docPart w:val="F5EF4663D5094D57BB3FEC6B89CF5C8E"/>
              </w:placeholder>
              <w:text w:multiLine="1"/>
            </w:sdtPr>
            <w:sdtEndPr/>
            <w:sdtContent>
              <w:r w:rsidR="00B20B0F">
                <w:rPr>
                  <w:rFonts w:hint="cs"/>
                  <w:b/>
                  <w:bCs/>
                  <w:noProof w:val="0"/>
                  <w:sz w:val="26"/>
                  <w:szCs w:val="26"/>
                  <w:rtl/>
                </w:rPr>
                <w:t>מ'</w:t>
              </w:r>
              <w:r w:rsidR="00DA2495">
                <w:rPr>
                  <w:b/>
                  <w:bCs/>
                  <w:noProof w:val="0"/>
                  <w:sz w:val="26"/>
                  <w:szCs w:val="26"/>
                  <w:rtl/>
                </w:rPr>
                <w:t xml:space="preserve"> נ' </w:t>
              </w:r>
              <w:r w:rsidR="00B20B0F">
                <w:rPr>
                  <w:rFonts w:hint="cs"/>
                  <w:b/>
                  <w:bCs/>
                  <w:noProof w:val="0"/>
                  <w:sz w:val="26"/>
                  <w:szCs w:val="26"/>
                  <w:rtl/>
                </w:rPr>
                <w:t>מ'</w:t>
              </w:r>
            </w:sdtContent>
          </w:sdt>
          <w:r w:rsidR="007C2453">
            <w:rPr>
              <w:b/>
              <w:bCs/>
              <w:noProof w:val="0"/>
              <w:sz w:val="26"/>
              <w:szCs w:val="26"/>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71235"/>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71235&amp;lt;/CaseID&amp;gt;_x000d__x000a_        &amp;lt;CaseMonth&amp;gt;10&amp;lt;/CaseMonth&amp;gt;_x000d__x000a_        &amp;lt;CaseYear&amp;gt;2023&amp;lt;/CaseYear&amp;gt;_x000d__x000a_        &amp;lt;CaseNumber&amp;gt;23669&amp;lt;/CaseNumber&amp;gt;_x000d__x000a_        &amp;lt;NumeratorGroupID&amp;gt;1&amp;lt;/NumeratorGroupID&amp;gt;_x000d__x000a_        &amp;lt;CaseName&amp;gt;מיכאלוב נ&amp;#39; מיכאלוב&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669-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NextDeterminingTask&amp;gt;157&amp;lt;/CaseNextDeterminingTask&amp;gt;_x000d__x000a_        &amp;lt;CaseOpenDate&amp;gt;2023-10-16T13:39: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71235&amp;lt;/CaseID&amp;gt;_x000d__x000a_        &amp;lt;CaseMonth&amp;gt;10&amp;lt;/CaseMonth&amp;gt;_x000d__x000a_        &amp;lt;CaseYear&amp;gt;2023&amp;lt;/CaseYear&amp;gt;_x000d__x000a_        &amp;lt;CaseNumber&amp;gt;23669&amp;lt;/CaseNumber&amp;gt;_x000d__x000a_        &amp;lt;NumeratorGroupID&amp;gt;1&amp;lt;/NumeratorGroupID&amp;gt;_x000d__x000a_        &amp;lt;CaseName&amp;gt;מיכאלוב נ&amp;#39; מיכאלוב&amp;lt;/CaseName&amp;gt;_x000d__x000a_        &amp;lt;CourtID&amp;gt;13&amp;lt;/CourtID&amp;gt;_x000d__x000a_        &amp;lt;CaseTypeID&amp;gt;10074&amp;lt;/CaseTypeID&amp;gt;_x000d__x000a_        &amp;lt;CaseInterestID&amp;gt;10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3669-10-23&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NextDeterminingTask&amp;gt;157&amp;lt;/CaseNextDeterminingTask&amp;gt;_x000d__x000a_        &amp;lt;CaseOpenDate&amp;gt;2023-10-16T13:39:00+03:00&amp;lt;/CaseOpenDate&amp;gt;_x000d__x000a_        &amp;lt;PleaTypeID&amp;gt;5&amp;lt;/PleaTypeID&amp;gt;_x000d__x000a_        &amp;lt;CourtLevelID&amp;gt;2&amp;lt;/CourtLevelID&amp;gt;_x000d__x000a_        &amp;lt;CourtLevelCaseTypeInterestID&amp;gt;41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תיק במקום &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894559&amp;lt;/DecisionID&amp;gt;_x000d__x000a_        &amp;lt;DecisionName&amp;gt;פסק דין  שניתנה ע&amp;quot;י  חננאל שרעבי&amp;lt;/DecisionName&amp;gt;_x000d__x000a_        &amp;lt;DecisionStatusID&amp;gt;1&amp;lt;/DecisionStatusID&amp;gt;_x000d__x000a_        &amp;lt;DecisionStatusChangeDate&amp;gt;2023-11-06T14:17:40.187+02:00&amp;lt;/DecisionStatusChangeDate&amp;gt;_x000d__x000a_        &amp;lt;DecisionSignatureDate&amp;gt;2023-11-06T14:11:42.723+02:00&amp;lt;/DecisionSignatureDate&amp;gt;_x000d__x000a_        &amp;lt;DecisionSignatureUserID&amp;gt;056479827@GOV.IL&amp;lt;/DecisionSignatureUserID&amp;gt;_x000d__x000a_        &amp;lt;DecisionCreateDate&amp;gt;2023-11-06T14:17:14.563+02:00&amp;lt;/DecisionCreateDate&amp;gt;_x000d__x000a_        &amp;lt;DecisionChangeDate&amp;gt;2023-11-06T14:17:40.22+02: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525810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פסק דין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894559&amp;lt;/DecisionID&amp;gt;_x000d__x000a_        &amp;lt;CaseID&amp;gt;80671235&amp;lt;/CaseID&amp;gt;_x000d__x000a_        &amp;lt;IsOriginal&amp;gt;true&amp;lt;/IsOriginal&amp;gt;_x000d__x000a_        &amp;lt;IsDeleted&amp;gt;false&amp;lt;/IsDeleted&amp;gt;_x000d__x000a_        &amp;lt;CaseName&amp;gt;מיכאלוב נ&amp;#39; מיכאלוב&amp;lt;/CaseName&amp;gt;_x000d__x000a_        &amp;lt;CaseDisplayIdentifier&amp;gt;23669-10-23 רמ&amp;quot;ש&amp;lt;/CaseDisplayIdentifier&amp;gt;_x000d__x000a_      &amp;lt;/dt_DecisionCase&amp;gt;_x000d__x000a_    &amp;lt;/DecisionDS&amp;gt;_x000d__x000a_  &amp;lt;/diffgr:diffgram&amp;gt;_x000d__x000a_&amp;lt;/DecisionDS&amp;gt;"/>
    <w:docVar w:name="DecisionID" w:val="147894559"/>
    <w:docVar w:name="WordClientAssemblyName" w:val="NGCS.Decision.ClientWordBL"/>
    <w:docVar w:name="WordClientClassName" w:val="NGCS.Decision.ClientWordBL.DecisionClient"/>
  </w:docVars>
  <w:rsids>
    <w:rsidRoot w:val="00694556"/>
    <w:rsid w:val="00000062"/>
    <w:rsid w:val="0000226B"/>
    <w:rsid w:val="00005C8B"/>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22A9F"/>
    <w:rsid w:val="001367BC"/>
    <w:rsid w:val="00144D2A"/>
    <w:rsid w:val="0014653E"/>
    <w:rsid w:val="00180519"/>
    <w:rsid w:val="00191C82"/>
    <w:rsid w:val="001C4003"/>
    <w:rsid w:val="001D4DBF"/>
    <w:rsid w:val="001E75CA"/>
    <w:rsid w:val="002265FF"/>
    <w:rsid w:val="00271B56"/>
    <w:rsid w:val="00272E32"/>
    <w:rsid w:val="00282CEA"/>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4F12"/>
    <w:rsid w:val="003D1C8C"/>
    <w:rsid w:val="003E38C7"/>
    <w:rsid w:val="0040096C"/>
    <w:rsid w:val="00414F1F"/>
    <w:rsid w:val="00422BEE"/>
    <w:rsid w:val="0043125D"/>
    <w:rsid w:val="0043502B"/>
    <w:rsid w:val="004443AC"/>
    <w:rsid w:val="00444B02"/>
    <w:rsid w:val="00451E28"/>
    <w:rsid w:val="00462C62"/>
    <w:rsid w:val="00465D36"/>
    <w:rsid w:val="00480E84"/>
    <w:rsid w:val="004C17EE"/>
    <w:rsid w:val="004C4BDF"/>
    <w:rsid w:val="004D1187"/>
    <w:rsid w:val="004D3AA0"/>
    <w:rsid w:val="004E1987"/>
    <w:rsid w:val="004E2E15"/>
    <w:rsid w:val="004E6E3C"/>
    <w:rsid w:val="00520898"/>
    <w:rsid w:val="00523621"/>
    <w:rsid w:val="00524986"/>
    <w:rsid w:val="005268F6"/>
    <w:rsid w:val="00534284"/>
    <w:rsid w:val="00547DB7"/>
    <w:rsid w:val="00557717"/>
    <w:rsid w:val="00576A86"/>
    <w:rsid w:val="005A08CC"/>
    <w:rsid w:val="005F4F09"/>
    <w:rsid w:val="00603F73"/>
    <w:rsid w:val="0061431B"/>
    <w:rsid w:val="00622BAA"/>
    <w:rsid w:val="00627487"/>
    <w:rsid w:val="006306CF"/>
    <w:rsid w:val="00644E9A"/>
    <w:rsid w:val="00671BD5"/>
    <w:rsid w:val="006805C1"/>
    <w:rsid w:val="00686C21"/>
    <w:rsid w:val="006931C1"/>
    <w:rsid w:val="00694556"/>
    <w:rsid w:val="006C30C5"/>
    <w:rsid w:val="006D3B31"/>
    <w:rsid w:val="006E0D96"/>
    <w:rsid w:val="006E1A53"/>
    <w:rsid w:val="006F56E6"/>
    <w:rsid w:val="00704EDA"/>
    <w:rsid w:val="00721122"/>
    <w:rsid w:val="00734689"/>
    <w:rsid w:val="007351F7"/>
    <w:rsid w:val="00753019"/>
    <w:rsid w:val="00754801"/>
    <w:rsid w:val="00761441"/>
    <w:rsid w:val="00795365"/>
    <w:rsid w:val="007A351D"/>
    <w:rsid w:val="007B7765"/>
    <w:rsid w:val="007C2453"/>
    <w:rsid w:val="007C5BDD"/>
    <w:rsid w:val="007D45E3"/>
    <w:rsid w:val="007E6115"/>
    <w:rsid w:val="007F4609"/>
    <w:rsid w:val="00805EFF"/>
    <w:rsid w:val="00814468"/>
    <w:rsid w:val="008176A1"/>
    <w:rsid w:val="00820005"/>
    <w:rsid w:val="008263FF"/>
    <w:rsid w:val="00844318"/>
    <w:rsid w:val="00860102"/>
    <w:rsid w:val="00863F5D"/>
    <w:rsid w:val="00870890"/>
    <w:rsid w:val="00873602"/>
    <w:rsid w:val="00875D12"/>
    <w:rsid w:val="00876170"/>
    <w:rsid w:val="0088479D"/>
    <w:rsid w:val="00891F42"/>
    <w:rsid w:val="00896889"/>
    <w:rsid w:val="008A6E97"/>
    <w:rsid w:val="008C5714"/>
    <w:rsid w:val="008D10B2"/>
    <w:rsid w:val="00903896"/>
    <w:rsid w:val="00906F3D"/>
    <w:rsid w:val="0094424E"/>
    <w:rsid w:val="00955642"/>
    <w:rsid w:val="009622DF"/>
    <w:rsid w:val="0096493F"/>
    <w:rsid w:val="00967DFF"/>
    <w:rsid w:val="00984371"/>
    <w:rsid w:val="00994341"/>
    <w:rsid w:val="009C130C"/>
    <w:rsid w:val="009D1A48"/>
    <w:rsid w:val="009E1CE7"/>
    <w:rsid w:val="009E461A"/>
    <w:rsid w:val="009E4EA5"/>
    <w:rsid w:val="009F164B"/>
    <w:rsid w:val="009F323C"/>
    <w:rsid w:val="00A3392B"/>
    <w:rsid w:val="00A46717"/>
    <w:rsid w:val="00A85E34"/>
    <w:rsid w:val="00A9144F"/>
    <w:rsid w:val="00A94B64"/>
    <w:rsid w:val="00AA3229"/>
    <w:rsid w:val="00AA7596"/>
    <w:rsid w:val="00AB3AE3"/>
    <w:rsid w:val="00AB5E52"/>
    <w:rsid w:val="00AC3B02"/>
    <w:rsid w:val="00AC3B7B"/>
    <w:rsid w:val="00AC5209"/>
    <w:rsid w:val="00AE0E34"/>
    <w:rsid w:val="00AE729E"/>
    <w:rsid w:val="00AE7752"/>
    <w:rsid w:val="00AF50BE"/>
    <w:rsid w:val="00AF7FDA"/>
    <w:rsid w:val="00B20B0F"/>
    <w:rsid w:val="00B5356E"/>
    <w:rsid w:val="00B809AD"/>
    <w:rsid w:val="00B80CBD"/>
    <w:rsid w:val="00B859C5"/>
    <w:rsid w:val="00B86096"/>
    <w:rsid w:val="00B964D9"/>
    <w:rsid w:val="00BA0A7C"/>
    <w:rsid w:val="00BA517C"/>
    <w:rsid w:val="00BB3D05"/>
    <w:rsid w:val="00BB53D3"/>
    <w:rsid w:val="00BB73BE"/>
    <w:rsid w:val="00BC2D89"/>
    <w:rsid w:val="00BD6531"/>
    <w:rsid w:val="00BE05B2"/>
    <w:rsid w:val="00BF1908"/>
    <w:rsid w:val="00C22D93"/>
    <w:rsid w:val="00C23458"/>
    <w:rsid w:val="00C23AC9"/>
    <w:rsid w:val="00C31120"/>
    <w:rsid w:val="00C34482"/>
    <w:rsid w:val="00C43648"/>
    <w:rsid w:val="00C50A9F"/>
    <w:rsid w:val="00C642FA"/>
    <w:rsid w:val="00C770E3"/>
    <w:rsid w:val="00CC7622"/>
    <w:rsid w:val="00CD608F"/>
    <w:rsid w:val="00CF6BB7"/>
    <w:rsid w:val="00D04AA4"/>
    <w:rsid w:val="00D27982"/>
    <w:rsid w:val="00D33B86"/>
    <w:rsid w:val="00D44968"/>
    <w:rsid w:val="00D53924"/>
    <w:rsid w:val="00D55D0C"/>
    <w:rsid w:val="00D96D8C"/>
    <w:rsid w:val="00DA2495"/>
    <w:rsid w:val="00DA6649"/>
    <w:rsid w:val="00DB7064"/>
    <w:rsid w:val="00DC1259"/>
    <w:rsid w:val="00DC1BD2"/>
    <w:rsid w:val="00DC2571"/>
    <w:rsid w:val="00DC487C"/>
    <w:rsid w:val="00DD05A8"/>
    <w:rsid w:val="00DD4335"/>
    <w:rsid w:val="00DE1E7D"/>
    <w:rsid w:val="00DE6BF6"/>
    <w:rsid w:val="00E00709"/>
    <w:rsid w:val="00E1068A"/>
    <w:rsid w:val="00E25884"/>
    <w:rsid w:val="00E25B55"/>
    <w:rsid w:val="00E31C2B"/>
    <w:rsid w:val="00E505B9"/>
    <w:rsid w:val="00E5426A"/>
    <w:rsid w:val="00E54642"/>
    <w:rsid w:val="00E80CBE"/>
    <w:rsid w:val="00E9269D"/>
    <w:rsid w:val="00E962E3"/>
    <w:rsid w:val="00EB1A47"/>
    <w:rsid w:val="00EB6C79"/>
    <w:rsid w:val="00EC37E9"/>
    <w:rsid w:val="00F038D8"/>
    <w:rsid w:val="00F06995"/>
    <w:rsid w:val="00F12D66"/>
    <w:rsid w:val="00F13623"/>
    <w:rsid w:val="00F44D1D"/>
    <w:rsid w:val="00F65CF0"/>
    <w:rsid w:val="00F84B6D"/>
    <w:rsid w:val="00F957E8"/>
    <w:rsid w:val="00FA311A"/>
    <w:rsid w:val="00FA5FDA"/>
    <w:rsid w:val="00FB6AB3"/>
    <w:rsid w:val="00FD1419"/>
    <w:rsid w:val="00FD79E4"/>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customStyle="1" w:styleId="David">
    <w:name w:val="סגנון (עברית ושפות אחרות) David מיושר לשני הצדדים מרווח בין שורות..."/>
    <w:basedOn w:val="a"/>
    <w:rsid w:val="008263FF"/>
    <w:pPr>
      <w:spacing w:line="360" w:lineRule="auto"/>
      <w:jc w:val="both"/>
    </w:pPr>
    <w:rPr>
      <w:noProof w:val="0"/>
    </w:rPr>
  </w:style>
  <w:style w:type="paragraph" w:styleId="ad">
    <w:name w:val="List Paragraph"/>
    <w:basedOn w:val="a"/>
    <w:uiPriority w:val="34"/>
    <w:qFormat/>
    <w:rsid w:val="008263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334948" w:rsidP="00334948">
          <w:pPr>
            <w:pStyle w:val="E460D38E05664FF79D4EFF282EF8EC9927"/>
          </w:pPr>
          <w:r>
            <w:rPr>
              <w:rFonts w:hint="cs"/>
              <w:rtl/>
            </w:rPr>
            <w:t xml:space="preserve">     </w:t>
          </w:r>
        </w:p>
      </w:docPartBody>
    </w:docPart>
    <w:docPart>
      <w:docPartPr>
        <w:name w:val="F5EF4663D5094D57BB3FEC6B89CF5C8E"/>
        <w:category>
          <w:name w:val="כללי"/>
          <w:gallery w:val="placeholder"/>
        </w:category>
        <w:types>
          <w:type w:val="bbPlcHdr"/>
        </w:types>
        <w:behaviors>
          <w:behavior w:val="content"/>
        </w:behaviors>
        <w:guid w:val="{7E0A614E-80C5-44FD-87E0-2CF97AE84F43}"/>
      </w:docPartPr>
      <w:docPartBody>
        <w:p w:rsidR="00CE1DCB" w:rsidRDefault="001D696D" w:rsidP="001D696D">
          <w:pPr>
            <w:pStyle w:val="F5EF4663D5094D57BB3FEC6B89CF5C8E4"/>
          </w:pPr>
          <w:r>
            <w:rPr>
              <w:b/>
              <w:bCs/>
              <w:noProof w:val="0"/>
              <w:sz w:val="26"/>
              <w:szCs w:val="26"/>
              <w:rtl/>
            </w:rPr>
            <w:t>שם תיק ללא שמות חסויים</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77CC"/>
    <w:rsid w:val="000A4ACE"/>
    <w:rsid w:val="001D696D"/>
    <w:rsid w:val="002D02C4"/>
    <w:rsid w:val="00334948"/>
    <w:rsid w:val="00345C9D"/>
    <w:rsid w:val="0048651F"/>
    <w:rsid w:val="005157ED"/>
    <w:rsid w:val="005171E8"/>
    <w:rsid w:val="00556D67"/>
    <w:rsid w:val="006C21D3"/>
    <w:rsid w:val="00793995"/>
    <w:rsid w:val="007C6F98"/>
    <w:rsid w:val="007E254A"/>
    <w:rsid w:val="00817811"/>
    <w:rsid w:val="008335B7"/>
    <w:rsid w:val="008B4366"/>
    <w:rsid w:val="009133C7"/>
    <w:rsid w:val="009178E4"/>
    <w:rsid w:val="00961B27"/>
    <w:rsid w:val="009A4BEE"/>
    <w:rsid w:val="00A51CA1"/>
    <w:rsid w:val="00AA7CE3"/>
    <w:rsid w:val="00AD53D7"/>
    <w:rsid w:val="00B50DB2"/>
    <w:rsid w:val="00B91FA3"/>
    <w:rsid w:val="00BE6557"/>
    <w:rsid w:val="00C96C06"/>
    <w:rsid w:val="00CE1DCB"/>
    <w:rsid w:val="00D24521"/>
    <w:rsid w:val="00E31BF6"/>
    <w:rsid w:val="00E81DB1"/>
    <w:rsid w:val="00F00DF8"/>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34948"/>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F00DF8"/>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F00DF8"/>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F00DF8"/>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F00DF8"/>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F00DF8"/>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F00DF8"/>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F00DF8"/>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F00DF8"/>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F00DF8"/>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A51CA1"/>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A51CA1"/>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A51CA1"/>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A51CA1"/>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A51CA1"/>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A51CA1"/>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A51CA1"/>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A51CA1"/>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A51CA1"/>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A4BEE"/>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A4BEE"/>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A4BEE"/>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A4BEE"/>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A4BEE"/>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A4BEE"/>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A4BEE"/>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A4BEE"/>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A4BEE"/>
    <w:pPr>
      <w:bidi/>
      <w:spacing w:after="0" w:line="240" w:lineRule="auto"/>
    </w:pPr>
    <w:rPr>
      <w:rFonts w:ascii="Times New Roman" w:eastAsia="Times New Roman" w:hAnsi="Times New Roman" w:cs="David"/>
      <w:noProof/>
      <w:sz w:val="24"/>
      <w:szCs w:val="24"/>
    </w:rPr>
  </w:style>
  <w:style w:type="paragraph" w:customStyle="1" w:styleId="7D8E46D2581B4CD9ACC623ACA7D52F75">
    <w:name w:val="7D8E46D2581B4CD9ACC623ACA7D52F75"/>
    <w:rsid w:val="00CE1DCB"/>
    <w:pPr>
      <w:bidi/>
      <w:spacing w:after="0" w:line="240" w:lineRule="auto"/>
    </w:pPr>
    <w:rPr>
      <w:rFonts w:ascii="Times New Roman" w:eastAsia="Times New Roman" w:hAnsi="Times New Roman" w:cs="David"/>
      <w:noProof/>
      <w:sz w:val="24"/>
      <w:szCs w:val="24"/>
    </w:rPr>
  </w:style>
  <w:style w:type="paragraph" w:customStyle="1" w:styleId="C3B0FBA23B684176B12DDEEA2C39785F">
    <w:name w:val="C3B0FBA23B684176B12DDEEA2C39785F"/>
    <w:rsid w:val="00CE1DCB"/>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CE1DCB"/>
    <w:pPr>
      <w:bidi/>
      <w:spacing w:after="0" w:line="240" w:lineRule="auto"/>
    </w:pPr>
    <w:rPr>
      <w:rFonts w:ascii="Times New Roman" w:eastAsia="Times New Roman" w:hAnsi="Times New Roman" w:cs="David"/>
      <w:noProof/>
      <w:sz w:val="24"/>
      <w:szCs w:val="24"/>
    </w:rPr>
  </w:style>
  <w:style w:type="paragraph" w:customStyle="1" w:styleId="CE26ADB1C1994B8A94D39E5A254497AA">
    <w:name w:val="CE26ADB1C1994B8A94D39E5A254497AA"/>
    <w:rsid w:val="00CE1DCB"/>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CE1DCB"/>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CE1DCB"/>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CE1DCB"/>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CE1DCB"/>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CE1DCB"/>
    <w:pPr>
      <w:bidi/>
      <w:spacing w:after="0" w:line="240" w:lineRule="auto"/>
    </w:pPr>
    <w:rPr>
      <w:rFonts w:ascii="Times New Roman" w:eastAsia="Times New Roman" w:hAnsi="Times New Roman" w:cs="David"/>
      <w:noProof/>
      <w:sz w:val="24"/>
      <w:szCs w:val="24"/>
    </w:rPr>
  </w:style>
  <w:style w:type="paragraph" w:customStyle="1" w:styleId="F5EF4663D5094D57BB3FEC6B89CF5C8E">
    <w:name w:val="F5EF4663D5094D57BB3FEC6B89CF5C8E"/>
    <w:rsid w:val="00CE1DCB"/>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CE1DCB"/>
    <w:pPr>
      <w:bidi/>
      <w:spacing w:after="0" w:line="240" w:lineRule="auto"/>
    </w:pPr>
    <w:rPr>
      <w:rFonts w:ascii="Times New Roman" w:eastAsia="Times New Roman" w:hAnsi="Times New Roman" w:cs="David"/>
      <w:noProof/>
      <w:sz w:val="24"/>
      <w:szCs w:val="24"/>
    </w:rPr>
  </w:style>
  <w:style w:type="paragraph" w:customStyle="1" w:styleId="32C57370D60D49D08DBB7279C159E425">
    <w:name w:val="32C57370D60D49D08DBB7279C159E425"/>
    <w:rsid w:val="00CE1DCB"/>
    <w:pPr>
      <w:bidi/>
      <w:spacing w:after="160" w:line="259" w:lineRule="auto"/>
    </w:pPr>
  </w:style>
  <w:style w:type="paragraph" w:customStyle="1" w:styleId="7D8E46D2581B4CD9ACC623ACA7D52F751">
    <w:name w:val="7D8E46D2581B4CD9ACC623ACA7D52F751"/>
    <w:rsid w:val="00AD53D7"/>
    <w:pPr>
      <w:bidi/>
      <w:spacing w:after="0" w:line="240" w:lineRule="auto"/>
    </w:pPr>
    <w:rPr>
      <w:rFonts w:ascii="Times New Roman" w:eastAsia="Times New Roman" w:hAnsi="Times New Roman" w:cs="David"/>
      <w:noProof/>
      <w:sz w:val="24"/>
      <w:szCs w:val="24"/>
    </w:rPr>
  </w:style>
  <w:style w:type="paragraph" w:customStyle="1" w:styleId="C3B0FBA23B684176B12DDEEA2C39785F1">
    <w:name w:val="C3B0FBA23B684176B12DDEEA2C39785F1"/>
    <w:rsid w:val="00AD53D7"/>
    <w:pPr>
      <w:bidi/>
      <w:spacing w:after="0" w:line="240" w:lineRule="auto"/>
    </w:pPr>
    <w:rPr>
      <w:rFonts w:ascii="Times New Roman" w:eastAsia="Times New Roman" w:hAnsi="Times New Roman" w:cs="David"/>
      <w:noProof/>
      <w:sz w:val="24"/>
      <w:szCs w:val="24"/>
    </w:rPr>
  </w:style>
  <w:style w:type="paragraph" w:customStyle="1" w:styleId="5FE133EA4EB14C2CAB6C483B10D59812">
    <w:name w:val="5FE133EA4EB14C2CAB6C483B10D59812"/>
    <w:rsid w:val="00AD53D7"/>
    <w:pPr>
      <w:bidi/>
      <w:spacing w:after="0" w:line="240" w:lineRule="auto"/>
    </w:pPr>
    <w:rPr>
      <w:rFonts w:ascii="Times New Roman" w:eastAsia="Times New Roman" w:hAnsi="Times New Roman" w:cs="David"/>
      <w:noProof/>
      <w:sz w:val="24"/>
      <w:szCs w:val="24"/>
    </w:rPr>
  </w:style>
  <w:style w:type="paragraph" w:customStyle="1" w:styleId="32C57370D60D49D08DBB7279C159E4251">
    <w:name w:val="32C57370D60D49D08DBB7279C159E4251"/>
    <w:rsid w:val="00AD53D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AD53D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AD53D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AD53D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AD53D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AD53D7"/>
    <w:pPr>
      <w:bidi/>
      <w:spacing w:after="0" w:line="240" w:lineRule="auto"/>
    </w:pPr>
    <w:rPr>
      <w:rFonts w:ascii="Times New Roman" w:eastAsia="Times New Roman" w:hAnsi="Times New Roman" w:cs="David"/>
      <w:noProof/>
      <w:sz w:val="24"/>
      <w:szCs w:val="24"/>
    </w:rPr>
  </w:style>
  <w:style w:type="paragraph" w:customStyle="1" w:styleId="F5EF4663D5094D57BB3FEC6B89CF5C8E1">
    <w:name w:val="F5EF4663D5094D57BB3FEC6B89CF5C8E1"/>
    <w:rsid w:val="00AD53D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AD53D7"/>
    <w:pPr>
      <w:bidi/>
      <w:spacing w:after="0" w:line="240" w:lineRule="auto"/>
    </w:pPr>
    <w:rPr>
      <w:rFonts w:ascii="Times New Roman" w:eastAsia="Times New Roman" w:hAnsi="Times New Roman" w:cs="David"/>
      <w:noProof/>
      <w:sz w:val="24"/>
      <w:szCs w:val="24"/>
    </w:rPr>
  </w:style>
  <w:style w:type="paragraph" w:customStyle="1" w:styleId="7D8E46D2581B4CD9ACC623ACA7D52F752">
    <w:name w:val="7D8E46D2581B4CD9ACC623ACA7D52F752"/>
    <w:rsid w:val="000177CC"/>
    <w:pPr>
      <w:bidi/>
      <w:spacing w:after="0" w:line="240" w:lineRule="auto"/>
    </w:pPr>
    <w:rPr>
      <w:rFonts w:ascii="Times New Roman" w:eastAsia="Times New Roman" w:hAnsi="Times New Roman" w:cs="David"/>
      <w:noProof/>
      <w:sz w:val="24"/>
      <w:szCs w:val="24"/>
    </w:rPr>
  </w:style>
  <w:style w:type="paragraph" w:customStyle="1" w:styleId="C3B0FBA23B684176B12DDEEA2C39785F2">
    <w:name w:val="C3B0FBA23B684176B12DDEEA2C39785F2"/>
    <w:rsid w:val="000177CC"/>
    <w:pPr>
      <w:bidi/>
      <w:spacing w:after="0" w:line="240" w:lineRule="auto"/>
    </w:pPr>
    <w:rPr>
      <w:rFonts w:ascii="Times New Roman" w:eastAsia="Times New Roman" w:hAnsi="Times New Roman" w:cs="David"/>
      <w:noProof/>
      <w:sz w:val="24"/>
      <w:szCs w:val="24"/>
    </w:rPr>
  </w:style>
  <w:style w:type="paragraph" w:customStyle="1" w:styleId="5FE133EA4EB14C2CAB6C483B10D598121">
    <w:name w:val="5FE133EA4EB14C2CAB6C483B10D598121"/>
    <w:rsid w:val="000177CC"/>
    <w:pPr>
      <w:bidi/>
      <w:spacing w:after="0" w:line="240" w:lineRule="auto"/>
    </w:pPr>
    <w:rPr>
      <w:rFonts w:ascii="Times New Roman" w:eastAsia="Times New Roman" w:hAnsi="Times New Roman" w:cs="David"/>
      <w:noProof/>
      <w:sz w:val="24"/>
      <w:szCs w:val="24"/>
    </w:rPr>
  </w:style>
  <w:style w:type="paragraph" w:customStyle="1" w:styleId="32C57370D60D49D08DBB7279C159E4252">
    <w:name w:val="32C57370D60D49D08DBB7279C159E4252"/>
    <w:rsid w:val="000177CC"/>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0177CC"/>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0177CC"/>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0177CC"/>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0177CC"/>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0177CC"/>
    <w:pPr>
      <w:bidi/>
      <w:spacing w:after="0" w:line="240" w:lineRule="auto"/>
    </w:pPr>
    <w:rPr>
      <w:rFonts w:ascii="Times New Roman" w:eastAsia="Times New Roman" w:hAnsi="Times New Roman" w:cs="David"/>
      <w:noProof/>
      <w:sz w:val="24"/>
      <w:szCs w:val="24"/>
    </w:rPr>
  </w:style>
  <w:style w:type="paragraph" w:customStyle="1" w:styleId="F5EF4663D5094D57BB3FEC6B89CF5C8E2">
    <w:name w:val="F5EF4663D5094D57BB3FEC6B89CF5C8E2"/>
    <w:rsid w:val="000177CC"/>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0177CC"/>
    <w:pPr>
      <w:bidi/>
      <w:spacing w:after="0" w:line="240" w:lineRule="auto"/>
    </w:pPr>
    <w:rPr>
      <w:rFonts w:ascii="Times New Roman" w:eastAsia="Times New Roman" w:hAnsi="Times New Roman" w:cs="David"/>
      <w:noProof/>
      <w:sz w:val="24"/>
      <w:szCs w:val="24"/>
    </w:rPr>
  </w:style>
  <w:style w:type="paragraph" w:customStyle="1" w:styleId="D0835A28627A476594973290286577B2">
    <w:name w:val="D0835A28627A476594973290286577B2"/>
    <w:rsid w:val="000177CC"/>
    <w:pPr>
      <w:bidi/>
      <w:spacing w:after="160" w:line="259" w:lineRule="auto"/>
    </w:pPr>
  </w:style>
  <w:style w:type="paragraph" w:customStyle="1" w:styleId="C0D9D4EB038F4D9DB24B5A2B7A8F2E7B">
    <w:name w:val="C0D9D4EB038F4D9DB24B5A2B7A8F2E7B"/>
    <w:rsid w:val="000177CC"/>
    <w:pPr>
      <w:bidi/>
      <w:spacing w:after="160" w:line="259" w:lineRule="auto"/>
    </w:pPr>
  </w:style>
  <w:style w:type="paragraph" w:customStyle="1" w:styleId="7D8E46D2581B4CD9ACC623ACA7D52F753">
    <w:name w:val="7D8E46D2581B4CD9ACC623ACA7D52F753"/>
    <w:rsid w:val="00817811"/>
    <w:pPr>
      <w:bidi/>
      <w:spacing w:after="0" w:line="240" w:lineRule="auto"/>
    </w:pPr>
    <w:rPr>
      <w:rFonts w:ascii="Times New Roman" w:eastAsia="Times New Roman" w:hAnsi="Times New Roman" w:cs="David"/>
      <w:noProof/>
      <w:sz w:val="24"/>
      <w:szCs w:val="24"/>
    </w:rPr>
  </w:style>
  <w:style w:type="paragraph" w:customStyle="1" w:styleId="C3B0FBA23B684176B12DDEEA2C39785F3">
    <w:name w:val="C3B0FBA23B684176B12DDEEA2C39785F3"/>
    <w:rsid w:val="00817811"/>
    <w:pPr>
      <w:bidi/>
      <w:spacing w:after="0" w:line="240" w:lineRule="auto"/>
    </w:pPr>
    <w:rPr>
      <w:rFonts w:ascii="Times New Roman" w:eastAsia="Times New Roman" w:hAnsi="Times New Roman" w:cs="David"/>
      <w:noProof/>
      <w:sz w:val="24"/>
      <w:szCs w:val="24"/>
    </w:rPr>
  </w:style>
  <w:style w:type="paragraph" w:customStyle="1" w:styleId="C0D9D4EB038F4D9DB24B5A2B7A8F2E7B1">
    <w:name w:val="C0D9D4EB038F4D9DB24B5A2B7A8F2E7B1"/>
    <w:rsid w:val="00817811"/>
    <w:pPr>
      <w:bidi/>
      <w:spacing w:after="0" w:line="240" w:lineRule="auto"/>
    </w:pPr>
    <w:rPr>
      <w:rFonts w:ascii="Times New Roman" w:eastAsia="Times New Roman" w:hAnsi="Times New Roman" w:cs="David"/>
      <w:noProof/>
      <w:sz w:val="24"/>
      <w:szCs w:val="24"/>
    </w:rPr>
  </w:style>
  <w:style w:type="paragraph" w:customStyle="1" w:styleId="D0835A28627A476594973290286577B21">
    <w:name w:val="D0835A28627A476594973290286577B21"/>
    <w:rsid w:val="00817811"/>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817811"/>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817811"/>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817811"/>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817811"/>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817811"/>
    <w:pPr>
      <w:bidi/>
      <w:spacing w:after="0" w:line="240" w:lineRule="auto"/>
    </w:pPr>
    <w:rPr>
      <w:rFonts w:ascii="Times New Roman" w:eastAsia="Times New Roman" w:hAnsi="Times New Roman" w:cs="David"/>
      <w:noProof/>
      <w:sz w:val="24"/>
      <w:szCs w:val="24"/>
    </w:rPr>
  </w:style>
  <w:style w:type="paragraph" w:customStyle="1" w:styleId="F5EF4663D5094D57BB3FEC6B89CF5C8E3">
    <w:name w:val="F5EF4663D5094D57BB3FEC6B89CF5C8E3"/>
    <w:rsid w:val="00817811"/>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817811"/>
    <w:pPr>
      <w:bidi/>
      <w:spacing w:after="0" w:line="240" w:lineRule="auto"/>
    </w:pPr>
    <w:rPr>
      <w:rFonts w:ascii="Times New Roman" w:eastAsia="Times New Roman" w:hAnsi="Times New Roman" w:cs="David"/>
      <w:noProof/>
      <w:sz w:val="24"/>
      <w:szCs w:val="24"/>
    </w:rPr>
  </w:style>
  <w:style w:type="paragraph" w:customStyle="1" w:styleId="7D8E46D2581B4CD9ACC623ACA7D52F754">
    <w:name w:val="7D8E46D2581B4CD9ACC623ACA7D52F754"/>
    <w:rsid w:val="001D696D"/>
    <w:pPr>
      <w:bidi/>
      <w:spacing w:after="0" w:line="240" w:lineRule="auto"/>
    </w:pPr>
    <w:rPr>
      <w:rFonts w:ascii="Times New Roman" w:eastAsia="Times New Roman" w:hAnsi="Times New Roman" w:cs="David"/>
      <w:noProof/>
      <w:sz w:val="24"/>
      <w:szCs w:val="24"/>
    </w:rPr>
  </w:style>
  <w:style w:type="paragraph" w:customStyle="1" w:styleId="C3B0FBA23B684176B12DDEEA2C39785F4">
    <w:name w:val="C3B0FBA23B684176B12DDEEA2C39785F4"/>
    <w:rsid w:val="001D696D"/>
    <w:pPr>
      <w:bidi/>
      <w:spacing w:after="0" w:line="240" w:lineRule="auto"/>
    </w:pPr>
    <w:rPr>
      <w:rFonts w:ascii="Times New Roman" w:eastAsia="Times New Roman" w:hAnsi="Times New Roman" w:cs="David"/>
      <w:noProof/>
      <w:sz w:val="24"/>
      <w:szCs w:val="24"/>
    </w:rPr>
  </w:style>
  <w:style w:type="paragraph" w:customStyle="1" w:styleId="C0D9D4EB038F4D9DB24B5A2B7A8F2E7B2">
    <w:name w:val="C0D9D4EB038F4D9DB24B5A2B7A8F2E7B2"/>
    <w:rsid w:val="001D696D"/>
    <w:pPr>
      <w:bidi/>
      <w:spacing w:after="0" w:line="240" w:lineRule="auto"/>
    </w:pPr>
    <w:rPr>
      <w:rFonts w:ascii="Times New Roman" w:eastAsia="Times New Roman" w:hAnsi="Times New Roman" w:cs="David"/>
      <w:noProof/>
      <w:sz w:val="24"/>
      <w:szCs w:val="24"/>
    </w:rPr>
  </w:style>
  <w:style w:type="paragraph" w:customStyle="1" w:styleId="D0835A28627A476594973290286577B22">
    <w:name w:val="D0835A28627A476594973290286577B22"/>
    <w:rsid w:val="001D696D"/>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1D696D"/>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1D696D"/>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1D696D"/>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1D696D"/>
    <w:pPr>
      <w:bidi/>
      <w:spacing w:after="0" w:line="240" w:lineRule="auto"/>
    </w:pPr>
    <w:rPr>
      <w:rFonts w:ascii="Times New Roman" w:eastAsia="Times New Roman" w:hAnsi="Times New Roman" w:cs="David"/>
      <w:noProof/>
      <w:sz w:val="24"/>
      <w:szCs w:val="24"/>
    </w:rPr>
  </w:style>
  <w:style w:type="paragraph" w:customStyle="1" w:styleId="F5EF4663D5094D57BB3FEC6B89CF5C8E4">
    <w:name w:val="F5EF4663D5094D57BB3FEC6B89CF5C8E4"/>
    <w:rsid w:val="001D696D"/>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1D696D"/>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334948"/>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מתת פלסנר</FullName>
        <FirstName>מתת</FirstName>
        <LastName>פלסנר</LastName>
        <PartyPropertyName/>
        <AuthenticationTypeAndNumber>מ.ר. 26312</AuthenticationTypeAndNumber>
        <RepresentatedOrRepresentativesNames>מור מיכאלוב</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261515536</CasePartyID>
        <PartyTypeID>2</PartyTypeID>
        <ActivityStatusID>1</ActivityStatusID>
        <PartyAliasID>22</PartyAliasID>
        <PartyAliasName>בא כוח מבקשים</PartyAliasName>
        <OrdinalNumber>1</OrdinalNumber>
        <LegalEntityID>403216</LegalEntityID>
        <CaseLegalEntityID>126258995</CaseLegalEntityID>
        <AuthenticationTypeID>4</AuthenticationTypeID>
        <AuthenticationTypeName>מ.ר.</AuthenticationTypeName>
        <LegalEntityNumber>26312</LegalEntityNumber>
        <IsMainPartyType>true</IsMainPartyType>
        <CaseDisplayIdentifier>23669-10-23</CaseDisplayIdentifier>
        <CaseTypeID>10074</CaseTypeID>
        <CaseTypeName>רשות ערעור משפחה (רמ"ש)</CaseTypeName>
        <CaseName>מיכאלוב נ' מיכאלוב</CaseName>
        <FullAddress>לינקולן 20 תל אביב -יפו בית רובינשטיין</FullAddress>
        <MotionID>0</MotionID>
        <CasePleaID>0</CasePleaID>
        <LinkedCaseID>0</LinkedCaseID>
        <PartyID>1</PartyID>
        <CasePartyCategoryID>2</CasePartyCategoryID>
        <LegalEntityAddressID>74795922</LegalEntityAddressID>
        <PleaTypeID>5</PleaTypeID>
        <LawyerOfficeName>משרד עו"ד: מתת פלסנר</LawyerOfficeName>
        <LawyerOfficeID>443860</LawyerOfficeID>
        <GroupPartyAlias/>
        <IsConverted>false</IsConverted>
        <LegalEntityNameID>24200</LegalEntityNameID>
        <RepresentatedNamesOfAssistant/>
        <LegalEntityTypeID>4</LegalEntityTypeID>
        <IsVerdictExists>false</IsVerdictExists>
        <IsAsirAzir>false</IsAsirAzir>
        <IsPublicationProhibited>false</IsPublicationProhibited>
        <PublicationProhibitedFullName>מתת פלסנר</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מור מיכאלוב</FullName>
        <FirstName>מור</FirstName>
        <LastName>מיכאילוב</LastName>
        <PartyPropertyName/>
        <AuthenticationTypeAndNumber>ת"ז 305790065</AuthenticationTypeAndNumber>
        <RepresentatedOrRepresentativesNames>מתת פלסנר</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261515534</CasePartyID>
        <PartyTypeID>1</PartyTypeID>
        <ActivityStatusID>1</ActivityStatusID>
        <PartyAliasID>3</PartyAliasID>
        <PartyAliasName>מבקש</PartyAliasName>
        <OrdinalNumber>1</OrdinalNumber>
        <LegalEntityID>74944870</LegalEntityID>
        <CaseLegalEntityID>126258993</CaseLegalEntityID>
        <AuthenticationTypeID>1</AuthenticationTypeID>
        <AuthenticationTypeName>ת"ז</AuthenticationTypeName>
        <LegalEntityNumber>305790065</LegalEntityNumber>
        <IsMainPartyType>true</IsMainPartyType>
        <CaseDisplayIdentifier>23669-10-23</CaseDisplayIdentifier>
        <CaseTypeID>10074</CaseTypeID>
        <CaseTypeName>רשות ערעור משפחה (רמ"ש)</CaseTypeName>
        <CaseName>מיכאלוב נ' מיכאלוב</CaseName>
        <FullAddress>הדקל 20 א' יגל </FullAddress>
        <MotionID>0</MotionID>
        <CasePleaID>0</CasePleaID>
        <FatherName>דוד</FatherName>
        <LinkedCaseID>0</LinkedCaseID>
        <PartyID>1</PartyID>
        <CasePartyCategoryID>2</CasePartyCategoryID>
        <LegalEntityAddressID>87706227</LegalEntityAddressID>
        <PleaTypeID>5</PleaTypeID>
        <GroupPartyAlias>מבקשים</GroupPartyAlias>
        <IsConverted>false</IsConverted>
        <LegalEntityRegisteredNameID>9842160</LegalEntityRegisteredNameID>
        <LegalEntityNameID>94601939</LegalEntityNameID>
        <RepresentatedNamesOfAssistant/>
        <LegalEntityTypeID>1</LegalEntityTypeID>
        <IsVerdictExists>false</IsVerdictExists>
        <IsAsirAzir>false</IsAsirAzir>
        <IsPublicationProhibited>false</IsPublicationProhibited>
        <PublicationProhibitedFullName>מור מיכאלוב</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עמנואל מיכאלוב</FullName>
        <FirstName>עמנואל עמי</FirstName>
        <LastName>מיכאילוב</LastName>
        <PartyPropertyName/>
        <AuthenticationTypeAndNumber>ת"ז 301468674</AuthenticationTypeAndNumber>
        <RepresentatedOrRepresentativesNames>קרן וינברג</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261515535</CasePartyID>
        <PartyTypeID>1</PartyTypeID>
        <ActivityStatusID>1</ActivityStatusID>
        <PartyAliasID>4</PartyAliasID>
        <PartyAliasName>משיב</PartyAliasName>
        <OrdinalNumber>1</OrdinalNumber>
        <LegalEntityID>13126992</LegalEntityID>
        <CaseLegalEntityID>126258994</CaseLegalEntityID>
        <AuthenticationTypeID>1</AuthenticationTypeID>
        <AuthenticationTypeName>ת"ז</AuthenticationTypeName>
        <LegalEntityNumber>301468674</LegalEntityNumber>
        <IsMainPartyType>true</IsMainPartyType>
        <CaseDisplayIdentifier>23669-10-23</CaseDisplayIdentifier>
        <CaseTypeID>10074</CaseTypeID>
        <CaseTypeName>רשות ערעור משפחה (רמ"ש)</CaseTypeName>
        <CaseName>מיכאלוב נ' מיכאלוב</CaseName>
        <FullAddress>בן גוריון 29 חדרה </FullAddress>
        <MotionID>0</MotionID>
        <CasePleaID>0</CasePleaID>
        <FatherName>חיים</FatherName>
        <LinkedCaseID>0</LinkedCaseID>
        <PartyID>2</PartyID>
        <CasePartyCategoryID>2</CasePartyCategoryID>
        <LegalEntityAddressID>87706226</LegalEntityAddressID>
        <PleaTypeID>5</PleaTypeID>
        <GroupPartyAlias>משיבים</GroupPartyAlias>
        <IsConverted>false</IsConverted>
        <LegalEntityRegisteredNameID>8554598</LegalEntityRegisteredNameID>
        <LegalEntityNameID>94601938</LegalEntityNameID>
        <RepresentatedNamesOfAssistant/>
        <LegalEntityTypeID>1</LegalEntityTypeID>
        <IsVerdictExists>false</IsVerdictExists>
        <IsAsirAzir>false</IsAsirAzir>
        <IsPublicationProhibited>false</IsPublicationProhibited>
        <PublicationProhibitedFullName>עמנואל מיכאלוב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קרן וינברג</FullName>
        <FirstName>קרן</FirstName>
        <LastName>וינברג</LastName>
        <PartyPropertyName/>
        <AuthenticationTypeAndNumber>מ.ר. 37371</AuthenticationTypeAndNumber>
        <RepresentatedOrRepresentativesNames>עמנואל מיכאלוב</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261515537</CasePartyID>
        <PartyTypeID>2</PartyTypeID>
        <ActivityStatusID>1</ActivityStatusID>
        <PartyAliasID>23</PartyAliasID>
        <PartyAliasName>בא כוח משיבים</PartyAliasName>
        <OrdinalNumber>1</OrdinalNumber>
        <LegalEntityID>412713</LegalEntityID>
        <CaseLegalEntityID>126258996</CaseLegalEntityID>
        <AuthenticationTypeID>4</AuthenticationTypeID>
        <AuthenticationTypeName>מ.ר.</AuthenticationTypeName>
        <LegalEntityNumber>37371</LegalEntityNumber>
        <IsMainPartyType>true</IsMainPartyType>
        <CaseDisplayIdentifier>23669-10-23</CaseDisplayIdentifier>
        <CaseTypeID>10074</CaseTypeID>
        <CaseTypeName>רשות ערעור משפחה (רמ"ש)</CaseTypeName>
        <CaseName>מיכאלוב נ' מיכאלוב</CaseName>
        <FullAddress>הלל יפה 15 חדרה </FullAddress>
        <MotionID>0</MotionID>
        <CasePleaID>0</CasePleaID>
        <FatherName xml:space="preserve">        </FatherName>
        <LinkedCaseID>0</LinkedCaseID>
        <PartyID>2</PartyID>
        <CasePartyCategoryID>2</CasePartyCategoryID>
        <LegalEntityAddressID>75446460</LegalEntityAddressID>
        <PleaTypeID>5</PleaTypeID>
        <LawyerOfficeName>משרד עו"ד מיכאל רייכלסון</LawyerOfficeName>
        <LawyerOfficeID>15875307</LawyerOfficeID>
        <GroupPartyAlias/>
        <IsConverted>false</IsConverted>
        <LegalEntityNameID>33697</LegalEntityNameID>
        <RepresentatedNamesOfAssistant/>
        <LegalEntityTypeID>4</LegalEntityTypeID>
        <IsVerdictExists>false</IsVerdictExists>
        <IsAsirAzir>false</IsAsirAzir>
        <IsPublicationProhibited>false</IsPublicationProhibited>
        <PublicationProhibitedFullName>קרן וינברג</PublicationProhibitedFullName>
      </CaseParties>
    </CasePartiesSelectionDS>
    <DecisionName>פסק דין  שניתנה ע"י  חננאל שרעבי</DecisionName>
    <CourtDisplayName>בית המשפט המחוזי בחיפה בשבתו כבית-משפט לערעורים אזרחיים</CourtDisplayName>
    <IsCaseJudgePanel>false</IsCaseJudgePanel>
    <DecisionSignatureDate>2023-11-06T14:11:42.7249273+02:00</DecisionSignatureDate>
    <OpenCaseDate>2023-10-16T13:39:00+03:00</OpenCaseDate>
    <CaseFeeSum>0.000</CaseFeeSum>
    <DecisionTypeID>2</DecisionTypeID>
    <DecisionSignatureUserName>חננאל שרעבי</DecisionSignatureUserName>
    <DecisionSignatureDateHebrew>2023-11-06T14:11:42.7249273+02:00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מיכאלוב נ' מיכאלוב</CaseName>
    <DecisionNumberInCase>4</DecisionNumberInCase>
  </dt_Decision>
  <dt_DecisionCase>
    <DecisionID>0</DecisionID>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מתת פלסנר</FullName>
        <FirstName>מתת</FirstName>
        <LastName>פלסנר</LastName>
        <PartyPropertyName/>
        <AuthenticationTypeAndNumber>מ.ר. 26312</AuthenticationTypeAndNumber>
        <RepresentatedOrRepresentativesNames>מור מיכאלוב</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261515536</CasePartyID>
        <PartyTypeID>2</PartyTypeID>
        <ActivityStatusID>1</ActivityStatusID>
        <PartyAliasID>22</PartyAliasID>
        <PartyAliasName>בא כוח מבקשים</PartyAliasName>
        <OrdinalNumber>1</OrdinalNumber>
        <LegalEntityID>403216</LegalEntityID>
        <CaseLegalEntityID>126258995</CaseLegalEntityID>
        <AuthenticationTypeID>4</AuthenticationTypeID>
        <AuthenticationTypeName>מ.ר.</AuthenticationTypeName>
        <LegalEntityNumber>26312</LegalEntityNumber>
        <IsMainPartyType>true</IsMainPartyType>
        <CaseDisplayIdentifier>23669-10-23</CaseDisplayIdentifier>
        <CaseTypeID>10074</CaseTypeID>
        <CaseTypeName>רשות ערעור משפחה (רמ"ש)</CaseTypeName>
        <CaseName>מיכאלוב נ' מיכאלוב</CaseName>
        <FullAddress>לינקולן 20 תל אביב -יפו בית רובינשטיין</FullAddress>
        <MotionID>0</MotionID>
        <CasePleaID>0</CasePleaID>
        <LinkedCaseID>0</LinkedCaseID>
        <PartyID>1</PartyID>
        <CasePartyCategoryID>2</CasePartyCategoryID>
        <LegalEntityAddressID>74795922</LegalEntityAddressID>
        <PleaTypeID>5</PleaTypeID>
        <LawyerOfficeName>משרד עו"ד: מתת פלסנר</LawyerOfficeName>
        <LawyerOfficeID>443860</LawyerOfficeID>
        <GroupPartyAlias/>
        <IsConverted>false</IsConverted>
        <LegalEntityNameID>24200</LegalEntityNameID>
        <RepresentatedNamesOfAssistant/>
        <LegalEntityTypeID>4</LegalEntityTypeID>
        <IsVerdictExists>false</IsVerdictExists>
        <IsAsirAzir>false</IsAsirAzir>
        <IsPublicationProhibited>false</IsPublicationProhibited>
        <PublicationProhibitedFullName>מתת פלסנר</PublicationProhibitedFullName>
      </CaseParties>
      <CaseParties>
        <PartyTypeName>צד</PartyTypeName>
        <ProceedingType>כתב טענות עיקרי</ProceedingType>
        <PleaName>כתב בקשה</PleaName>
        <PartyBelonging>צד א'</PartyBelonging>
        <RoleName>מבקש 1 - נתבע</RoleName>
        <IsSubProceeding>FALSE</IsSubProceeding>
        <FullName>מור מיכאלוב</FullName>
        <FirstName>מור</FirstName>
        <LastName>מיכאילוב</LastName>
        <PartyPropertyName/>
        <AuthenticationTypeAndNumber>ת"ז 305790065</AuthenticationTypeAndNumber>
        <RepresentatedOrRepresentativesNames>מתת פלסנר</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261515534</CasePartyID>
        <PartyTypeID>1</PartyTypeID>
        <ActivityStatusID>1</ActivityStatusID>
        <PartyAliasID>3</PartyAliasID>
        <PartyAliasName>מבקש</PartyAliasName>
        <OrdinalNumber>1</OrdinalNumber>
        <LegalEntityID>74944870</LegalEntityID>
        <CaseLegalEntityID>126258993</CaseLegalEntityID>
        <AuthenticationTypeID>1</AuthenticationTypeID>
        <AuthenticationTypeName>ת"ז</AuthenticationTypeName>
        <LegalEntityNumber>305790065</LegalEntityNumber>
        <IsMainPartyType>true</IsMainPartyType>
        <CaseDisplayIdentifier>23669-10-23</CaseDisplayIdentifier>
        <CaseTypeID>10074</CaseTypeID>
        <CaseTypeName>רשות ערעור משפחה (רמ"ש)</CaseTypeName>
        <CaseName>מיכאלוב נ' מיכאלוב</CaseName>
        <FullAddress>הדקל 20 א' יגל </FullAddress>
        <MotionID>0</MotionID>
        <CasePleaID>0</CasePleaID>
        <FatherName>דוד</FatherName>
        <LinkedCaseID>0</LinkedCaseID>
        <PartyID>1</PartyID>
        <CasePartyCategoryID>2</CasePartyCategoryID>
        <LegalEntityAddressID>87706227</LegalEntityAddressID>
        <PleaTypeID>5</PleaTypeID>
        <GroupPartyAlias>מבקשים</GroupPartyAlias>
        <IsConverted>false</IsConverted>
        <LegalEntityRegisteredNameID>9842160</LegalEntityRegisteredNameID>
        <LegalEntityNameID>94601939</LegalEntityNameID>
        <RepresentatedNamesOfAssistant/>
        <LegalEntityTypeID>1</LegalEntityTypeID>
        <IsVerdictExists>false</IsVerdictExists>
        <IsAsirAzir>false</IsAsirAzir>
        <IsPublicationProhibited>false</IsPublicationProhibited>
        <PublicationProhibitedFullName>מור מיכאלוב</PublicationProhibitedFullName>
      </CaseParties>
      <CaseParties>
        <PartyTypeName>צד</PartyTypeName>
        <ProceedingType>כתב טענות עיקרי</ProceedingType>
        <PleaName>כתב בקשה</PleaName>
        <PartyBelonging>צד ב'</PartyBelonging>
        <RoleName>משיב 1 - תובע</RoleName>
        <IsSubProceeding>FALSE</IsSubProceeding>
        <FullName>עמנואל מיכאלוב</FullName>
        <FirstName>עמנואל עמי</FirstName>
        <LastName>מיכאילוב</LastName>
        <PartyPropertyName/>
        <AuthenticationTypeAndNumber>ת"ז 301468674</AuthenticationTypeAndNumber>
        <RepresentatedOrRepresentativesNames>קרן וינברג</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261515535</CasePartyID>
        <PartyTypeID>1</PartyTypeID>
        <ActivityStatusID>1</ActivityStatusID>
        <PartyAliasID>4</PartyAliasID>
        <PartyAliasName>משיב</PartyAliasName>
        <OrdinalNumber>1</OrdinalNumber>
        <LegalEntityID>13126992</LegalEntityID>
        <CaseLegalEntityID>126258994</CaseLegalEntityID>
        <AuthenticationTypeID>1</AuthenticationTypeID>
        <AuthenticationTypeName>ת"ז</AuthenticationTypeName>
        <LegalEntityNumber>301468674</LegalEntityNumber>
        <IsMainPartyType>true</IsMainPartyType>
        <CaseDisplayIdentifier>23669-10-23</CaseDisplayIdentifier>
        <CaseTypeID>10074</CaseTypeID>
        <CaseTypeName>רשות ערעור משפחה (רמ"ש)</CaseTypeName>
        <CaseName>מיכאלוב נ' מיכאלוב</CaseName>
        <FullAddress>בן גוריון 29 חדרה </FullAddress>
        <MotionID>0</MotionID>
        <CasePleaID>0</CasePleaID>
        <FatherName>חיים</FatherName>
        <LinkedCaseID>0</LinkedCaseID>
        <PartyID>2</PartyID>
        <CasePartyCategoryID>2</CasePartyCategoryID>
        <LegalEntityAddressID>87706226</LegalEntityAddressID>
        <PleaTypeID>5</PleaTypeID>
        <GroupPartyAlias>משיבים</GroupPartyAlias>
        <IsConverted>false</IsConverted>
        <LegalEntityRegisteredNameID>8554598</LegalEntityRegisteredNameID>
        <LegalEntityNameID>94601938</LegalEntityNameID>
        <RepresentatedNamesOfAssistant/>
        <LegalEntityTypeID>1</LegalEntityTypeID>
        <IsVerdictExists>false</IsVerdictExists>
        <IsAsirAzir>false</IsAsirAzir>
        <IsPublicationProhibited>false</IsPublicationProhibited>
        <PublicationProhibitedFullName>עמנואל מיכאלוב</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קרן וינברג</FullName>
        <FirstName>קרן</FirstName>
        <LastName>וינברג</LastName>
        <PartyPropertyName/>
        <AuthenticationTypeAndNumber>מ.ר. 37371</AuthenticationTypeAndNumber>
        <RepresentatedOrRepresentativesNames>עמנואל מיכאלוב</RepresentatedOrRepresentativesNames>
        <RepresentatedOrRepresentativesCount>1</RepresentatedOrRepresentativesCount>
        <InvitedBy/>
        <CaseID>80671235</CaseID>
        <CaseJudicialPersonPresentationDS>
          <CaseJudicalPersonActive>
            <CaseID>80671235</CaseID>
            <JudicialPersonID>056479827@GOV.IL</JudicialPersonID>
            <JudicialPersonTypeID>1</JudicialPersonTypeID>
            <JudicialTypeID>1</JudicialTypeID>
            <IsChairman>false</IsChairman>
            <TreatmentStartDate>2023-10-16T14:36:04.62+03:00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261515537</CasePartyID>
        <PartyTypeID>2</PartyTypeID>
        <ActivityStatusID>1</ActivityStatusID>
        <PartyAliasID>23</PartyAliasID>
        <PartyAliasName>בא כוח משיבים</PartyAliasName>
        <OrdinalNumber>1</OrdinalNumber>
        <LegalEntityID>412713</LegalEntityID>
        <CaseLegalEntityID>126258996</CaseLegalEntityID>
        <AuthenticationTypeID>4</AuthenticationTypeID>
        <AuthenticationTypeName>מ.ר.</AuthenticationTypeName>
        <LegalEntityNumber>37371</LegalEntityNumber>
        <IsMainPartyType>true</IsMainPartyType>
        <CaseDisplayIdentifier>23669-10-23</CaseDisplayIdentifier>
        <CaseTypeID>10074</CaseTypeID>
        <CaseTypeName>רשות ערעור משפחה (רמ"ש)</CaseTypeName>
        <CaseName>מיכאלוב נ' מיכאלוב</CaseName>
        <FullAddress>הלל יפה 15 חדרה </FullAddress>
        <MotionID>0</MotionID>
        <CasePleaID>0</CasePleaID>
        <FatherName xml:space="preserve">        </FatherName>
        <LinkedCaseID>0</LinkedCaseID>
        <PartyID>2</PartyID>
        <CasePartyCategoryID>2</CasePartyCategoryID>
        <LegalEntityAddressID>75446460</LegalEntityAddressID>
        <PleaTypeID>5</PleaTypeID>
        <LawyerOfficeName>משרד עו"ד מיכאל רייכלסון</LawyerOfficeName>
        <LawyerOfficeID>15875307</LawyerOfficeID>
        <GroupPartyAlias/>
        <IsConverted>false</IsConverted>
        <LegalEntityNameID>33697</LegalEntityNameID>
        <RepresentatedNamesOfAssistant/>
        <LegalEntityTypeID>4</LegalEntityTypeID>
        <IsVerdictExists>false</IsVerdictExists>
        <IsAsirAzir>false</IsAsirAzir>
        <IsPublicationProhibited>false</IsPublicationProhibited>
        <PublicationProhibitedFullName>קרן וינברג</PublicationProhibitedFullName>
      </CaseParties>
    </CasePartiesSelectionDS>
    <CaseName>מיכאלוב נ' מיכאלוב</CaseName>
    <CaseDisplayIdentifier>23669-10-23</CaseDisplayIdentifier>
    <CaseInterestID>101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הדקל 20 א'</StreetName>
    <CityName>יגל</CityName>
    <FullName>מור מיכאלוב </FullName>
    <IsPublicationProhibited>false</IsPublicationProhibited>
  </dt_LegalEntityDetails>
  <dt_LegalEntityDetails>
    <PartyID>2</PartyID>
    <PartyTypeID>1</PartyTypeID>
    <DecisionID>0</DecisionID>
    <StreetName>בן גוריון 29</StreetName>
    <CityName>חדרה</CityName>
    <FullName>עמנואל מיכאלוב </FullName>
    <IsPublicationProhibited>false</IsPublicationProhibited>
  </dt_LegalEntityDetails>
  <dt_LegalEntityDetails>
    <Fax>03-6246228</Fax>
    <Phone>03-6246224</Phone>
    <AddressDesc>בית רובינשטיין</AddressDesc>
    <PartyID>1</PartyID>
    <PartyTypeID>2</PartyTypeID>
    <DecisionID>0</DecisionID>
    <StreetName>לינקולן 20</StreetName>
    <ZipCode>67134</ZipCode>
    <CityName>תל אביב -יפו</CityName>
    <FullName>מתת פלסנר</FullName>
    <Email>matat@plesher-law.co.il</Email>
    <IsPublicationProhibited>false</IsPublicationProhibited>
  </dt_LegalEntityDetails>
  <dt_LegalEntityDetails>
    <Fax> 04-6211899</Fax>
    <Phone> 04-6225519</Phone>
    <PartyID>2</PartyID>
    <PartyTypeID>2</PartyTypeID>
    <DecisionID>0</DecisionID>
    <StreetName>הלל יפה 15</StreetName>
    <ZipCode>38104</ZipCode>
    <CityName>חדרה</CityName>
    <FullName>קרן וינברג</FullName>
    <Email>raichelson@gmail.com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3214C-D541-487F-B88B-F9F027DD6A87}">
  <ds:schemaRefs/>
</ds:datastoreItem>
</file>

<file path=customXml/itemProps2.xml><?xml version="1.0" encoding="utf-8"?>
<ds:datastoreItem xmlns:ds="http://schemas.openxmlformats.org/officeDocument/2006/customXml" ds:itemID="{BED35744-0975-4E8E-A030-3A03E12468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2844</Words>
  <Characters>14221</Characters>
  <Application>Microsoft Office Word</Application>
  <DocSecurity>0</DocSecurity>
  <Lines>118</Lines>
  <Paragraphs>34</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17031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2023-11-15T11:23:00Z</dcterms:created>
  <dcterms:modified xsi:type="dcterms:W3CDTF">2023-11-15T11:23:00Z</dcterms:modified>
</cp:coreProperties>
</file>